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2AD3" w14:textId="77777777" w:rsidR="001F71C9" w:rsidRPr="00917672" w:rsidRDefault="00A95AD9" w:rsidP="007C66BE">
      <w:pPr>
        <w:pStyle w:val="20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>СОГЛАШЕНИЕ</w:t>
      </w:r>
    </w:p>
    <w:p w14:paraId="5D72ABA7" w14:textId="1363B8F6" w:rsidR="001F71C9" w:rsidRPr="00917672" w:rsidRDefault="00A95AD9" w:rsidP="007C66BE">
      <w:pPr>
        <w:pStyle w:val="20"/>
        <w:shd w:val="clear" w:color="auto" w:fill="auto"/>
        <w:spacing w:after="333" w:line="276" w:lineRule="auto"/>
        <w:ind w:firstLine="709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 xml:space="preserve">о взаимодействии при реализации </w:t>
      </w:r>
      <w:r w:rsidR="0008013D" w:rsidRPr="00917672">
        <w:rPr>
          <w:b/>
          <w:sz w:val="24"/>
          <w:szCs w:val="24"/>
        </w:rPr>
        <w:t>мероприятий национального проекта «Производительность труда»</w:t>
      </w:r>
      <w:r w:rsidRPr="00917672">
        <w:rPr>
          <w:b/>
          <w:sz w:val="24"/>
          <w:szCs w:val="24"/>
        </w:rPr>
        <w:t xml:space="preserve"> между </w:t>
      </w:r>
      <w:r w:rsidR="00CC7F8C">
        <w:rPr>
          <w:b/>
          <w:sz w:val="24"/>
          <w:szCs w:val="24"/>
        </w:rPr>
        <w:t xml:space="preserve">Министерством экономического развития Республики Карелия и </w:t>
      </w:r>
      <w:r w:rsidR="0008013D" w:rsidRPr="00917672">
        <w:rPr>
          <w:b/>
          <w:sz w:val="24"/>
          <w:szCs w:val="24"/>
        </w:rPr>
        <w:t>__________________</w:t>
      </w:r>
    </w:p>
    <w:p w14:paraId="13301F0E" w14:textId="2CA9A6CE" w:rsidR="001F71C9" w:rsidRPr="00917672" w:rsidRDefault="00A95AD9" w:rsidP="007C66BE">
      <w:pPr>
        <w:pStyle w:val="20"/>
        <w:shd w:val="clear" w:color="auto" w:fill="auto"/>
        <w:tabs>
          <w:tab w:val="left" w:pos="5934"/>
          <w:tab w:val="center" w:pos="8636"/>
          <w:tab w:val="right" w:pos="9500"/>
        </w:tabs>
        <w:spacing w:after="299" w:line="276" w:lineRule="auto"/>
        <w:ind w:left="20" w:firstLine="709"/>
        <w:jc w:val="both"/>
        <w:rPr>
          <w:sz w:val="24"/>
          <w:szCs w:val="24"/>
        </w:rPr>
      </w:pPr>
      <w:r w:rsidRPr="00917672">
        <w:rPr>
          <w:rStyle w:val="21"/>
          <w:sz w:val="24"/>
          <w:szCs w:val="24"/>
        </w:rPr>
        <w:t>г.</w:t>
      </w:r>
      <w:r w:rsidR="00CC7F8C">
        <w:rPr>
          <w:rStyle w:val="21"/>
          <w:sz w:val="24"/>
          <w:szCs w:val="24"/>
        </w:rPr>
        <w:t xml:space="preserve"> Петрозаводск</w:t>
      </w:r>
      <w:r w:rsidR="0008013D" w:rsidRPr="00917672">
        <w:rPr>
          <w:b/>
          <w:sz w:val="24"/>
          <w:szCs w:val="24"/>
        </w:rPr>
        <w:tab/>
      </w:r>
      <w:r w:rsidR="0008013D" w:rsidRPr="00917672">
        <w:rPr>
          <w:b/>
          <w:sz w:val="24"/>
          <w:szCs w:val="24"/>
        </w:rPr>
        <w:tab/>
      </w:r>
      <w:r w:rsidR="0008013D" w:rsidRPr="00917672">
        <w:rPr>
          <w:sz w:val="24"/>
          <w:szCs w:val="24"/>
        </w:rPr>
        <w:t>_____________</w:t>
      </w:r>
      <w:r w:rsidR="004B16B5">
        <w:rPr>
          <w:sz w:val="24"/>
          <w:szCs w:val="24"/>
        </w:rPr>
        <w:t>2023</w:t>
      </w:r>
      <w:r w:rsidR="00D476C7">
        <w:rPr>
          <w:sz w:val="24"/>
          <w:szCs w:val="24"/>
        </w:rPr>
        <w:t xml:space="preserve"> года</w:t>
      </w:r>
    </w:p>
    <w:p w14:paraId="38241974" w14:textId="73BB81B7" w:rsidR="001F71C9" w:rsidRPr="004B7EFD" w:rsidRDefault="00CC7F8C" w:rsidP="007C66BE">
      <w:pPr>
        <w:pStyle w:val="20"/>
        <w:shd w:val="clear" w:color="auto" w:fill="auto"/>
        <w:spacing w:after="39" w:line="276" w:lineRule="auto"/>
        <w:ind w:left="20" w:right="2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Министерство экономического развития Республики Карелия</w:t>
      </w:r>
      <w:r w:rsidRPr="004B7EFD">
        <w:rPr>
          <w:sz w:val="24"/>
          <w:szCs w:val="24"/>
        </w:rPr>
        <w:t xml:space="preserve">, именуемое в дальнейшем </w:t>
      </w:r>
      <w:r w:rsidRPr="00BC0F2D">
        <w:rPr>
          <w:sz w:val="24"/>
          <w:szCs w:val="24"/>
        </w:rPr>
        <w:t>Министерство, в лице Министра Ермолаева Олега Александровича, действующего на основании Указа Главы Республики</w:t>
      </w:r>
      <w:r w:rsidR="004B16B5" w:rsidRPr="00BC0F2D">
        <w:rPr>
          <w:sz w:val="24"/>
          <w:szCs w:val="24"/>
        </w:rPr>
        <w:t xml:space="preserve"> Карелия от 15 декабря 2022 г № 127</w:t>
      </w:r>
      <w:r w:rsidRPr="00BC0F2D">
        <w:rPr>
          <w:sz w:val="24"/>
          <w:szCs w:val="24"/>
        </w:rPr>
        <w:t xml:space="preserve"> и Положения о Министерстве, утвержденного постановлением Правительства Республика Карелия от 21 сентября 2016 г №360-П, </w:t>
      </w:r>
      <w:r w:rsidR="002C2936" w:rsidRPr="00BC0F2D">
        <w:rPr>
          <w:sz w:val="24"/>
          <w:szCs w:val="24"/>
        </w:rPr>
        <w:t>с одной стороны</w:t>
      </w:r>
      <w:r w:rsidR="00A95AD9" w:rsidRPr="00BC0F2D">
        <w:rPr>
          <w:sz w:val="24"/>
          <w:szCs w:val="24"/>
        </w:rPr>
        <w:t xml:space="preserve"> и </w:t>
      </w:r>
      <w:r w:rsidR="0008013D" w:rsidRPr="00BC0F2D">
        <w:rPr>
          <w:sz w:val="24"/>
          <w:szCs w:val="24"/>
        </w:rPr>
        <w:t>_______________________________</w:t>
      </w:r>
      <w:r w:rsidR="00A95AD9" w:rsidRPr="00BC0F2D">
        <w:rPr>
          <w:sz w:val="24"/>
          <w:szCs w:val="24"/>
        </w:rPr>
        <w:t>, именуемое в дальнейшем Предприятие</w:t>
      </w:r>
      <w:r w:rsidR="00A95AD9" w:rsidRPr="004B7EFD">
        <w:rPr>
          <w:sz w:val="24"/>
          <w:szCs w:val="24"/>
        </w:rPr>
        <w:t xml:space="preserve">, в лице </w:t>
      </w:r>
      <w:r w:rsidR="0008013D" w:rsidRPr="004B7EFD">
        <w:rPr>
          <w:sz w:val="24"/>
          <w:szCs w:val="24"/>
        </w:rPr>
        <w:t>___________________________________________________________</w:t>
      </w:r>
      <w:r w:rsidR="00A95AD9" w:rsidRPr="004B7EFD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_________________________________,</w:t>
      </w:r>
      <w:r w:rsidR="002C2936" w:rsidRPr="00274AB0">
        <w:rPr>
          <w:sz w:val="24"/>
          <w:szCs w:val="24"/>
        </w:rPr>
        <w:t xml:space="preserve"> с другой стороны, совместно</w:t>
      </w:r>
      <w:proofErr w:type="gramEnd"/>
      <w:r w:rsidR="002C2936" w:rsidRPr="00274AB0">
        <w:rPr>
          <w:sz w:val="24"/>
          <w:szCs w:val="24"/>
        </w:rPr>
        <w:t xml:space="preserve"> </w:t>
      </w:r>
      <w:proofErr w:type="gramStart"/>
      <w:r w:rsidR="002C2936" w:rsidRPr="00274AB0">
        <w:rPr>
          <w:sz w:val="24"/>
          <w:szCs w:val="24"/>
        </w:rPr>
        <w:t>именуемые в дальнейшем Стороны,</w:t>
      </w:r>
      <w:r w:rsidR="00A95AD9" w:rsidRPr="00274AB0">
        <w:rPr>
          <w:sz w:val="24"/>
          <w:szCs w:val="24"/>
        </w:rPr>
        <w:t xml:space="preserve"> руководствуясь заинтересованностью в реализации </w:t>
      </w:r>
      <w:r w:rsidR="0008013D" w:rsidRPr="00274AB0">
        <w:rPr>
          <w:sz w:val="24"/>
          <w:szCs w:val="24"/>
        </w:rPr>
        <w:t>отдельных мероприятий национального проекта «Производительность труда»</w:t>
      </w:r>
      <w:r w:rsidR="00D861E7">
        <w:rPr>
          <w:sz w:val="24"/>
          <w:szCs w:val="24"/>
        </w:rPr>
        <w:t xml:space="preserve">  (далее – национальный проект)</w:t>
      </w:r>
      <w:r w:rsidR="0008013D" w:rsidRPr="00274AB0">
        <w:rPr>
          <w:sz w:val="24"/>
          <w:szCs w:val="24"/>
        </w:rPr>
        <w:t xml:space="preserve">, а также входящих в его структуру федеральных проектов </w:t>
      </w:r>
      <w:r w:rsidR="002C2936" w:rsidRPr="004B7EFD">
        <w:rPr>
          <w:sz w:val="24"/>
          <w:szCs w:val="24"/>
        </w:rPr>
        <w:t>«Системные меры по повышению производительности труда»</w:t>
      </w:r>
      <w:r w:rsidR="00D861E7">
        <w:rPr>
          <w:sz w:val="24"/>
          <w:szCs w:val="24"/>
        </w:rPr>
        <w:t xml:space="preserve"> и </w:t>
      </w:r>
      <w:r w:rsidR="0008013D" w:rsidRPr="004B7EFD">
        <w:rPr>
          <w:sz w:val="24"/>
          <w:szCs w:val="24"/>
        </w:rPr>
        <w:t xml:space="preserve">«Адресная поддержка повышения производительности труда на предприятиях», </w:t>
      </w:r>
      <w:r w:rsidR="00275A4F" w:rsidRPr="004B7EFD">
        <w:rPr>
          <w:sz w:val="24"/>
          <w:szCs w:val="24"/>
        </w:rPr>
        <w:t xml:space="preserve">(далее </w:t>
      </w:r>
      <w:r w:rsidR="00890AB6" w:rsidRPr="004B7EFD">
        <w:rPr>
          <w:sz w:val="24"/>
          <w:szCs w:val="24"/>
        </w:rPr>
        <w:t xml:space="preserve">– </w:t>
      </w:r>
      <w:r w:rsidR="00275A4F" w:rsidRPr="004B7EFD">
        <w:rPr>
          <w:sz w:val="24"/>
          <w:szCs w:val="24"/>
        </w:rPr>
        <w:t>Федеральные проекты)</w:t>
      </w:r>
      <w:r w:rsidR="00A95AD9" w:rsidRPr="004B7EFD">
        <w:rPr>
          <w:sz w:val="24"/>
          <w:szCs w:val="24"/>
        </w:rPr>
        <w:t>, подписали настоящее Соглашение о нижеследующем:</w:t>
      </w:r>
      <w:proofErr w:type="gramEnd"/>
    </w:p>
    <w:p w14:paraId="5BF147E9" w14:textId="77777777" w:rsidR="004B7EFD" w:rsidRPr="004B7EFD" w:rsidRDefault="004B7EFD" w:rsidP="007C66BE">
      <w:pPr>
        <w:pStyle w:val="20"/>
        <w:shd w:val="clear" w:color="auto" w:fill="auto"/>
        <w:spacing w:after="39" w:line="276" w:lineRule="auto"/>
        <w:ind w:left="20" w:right="20" w:firstLine="709"/>
        <w:jc w:val="both"/>
        <w:rPr>
          <w:sz w:val="24"/>
          <w:szCs w:val="24"/>
        </w:rPr>
      </w:pPr>
    </w:p>
    <w:p w14:paraId="5260AE81" w14:textId="77777777" w:rsidR="004B7EFD" w:rsidRPr="004B7EFD" w:rsidRDefault="00A95AD9" w:rsidP="007C66BE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20" w:right="338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Предмет Соглашения </w:t>
      </w:r>
    </w:p>
    <w:p w14:paraId="6213642D" w14:textId="77777777" w:rsidR="004B7EFD" w:rsidRPr="00BE74E7" w:rsidRDefault="004B7EFD" w:rsidP="007C66BE">
      <w:pPr>
        <w:pStyle w:val="20"/>
        <w:shd w:val="clear" w:color="auto" w:fill="auto"/>
        <w:spacing w:line="276" w:lineRule="auto"/>
        <w:ind w:left="20" w:right="3380" w:firstLine="709"/>
        <w:jc w:val="both"/>
        <w:rPr>
          <w:sz w:val="24"/>
          <w:szCs w:val="24"/>
          <w:lang w:val="en-US"/>
        </w:rPr>
      </w:pPr>
    </w:p>
    <w:p w14:paraId="1CF6FFF8" w14:textId="360912CC" w:rsidR="001F71C9" w:rsidRPr="00274AB0" w:rsidRDefault="00A95AD9" w:rsidP="007C66BE">
      <w:pPr>
        <w:pStyle w:val="20"/>
        <w:numPr>
          <w:ilvl w:val="1"/>
          <w:numId w:val="19"/>
        </w:numPr>
        <w:shd w:val="clear" w:color="auto" w:fill="auto"/>
        <w:spacing w:line="276" w:lineRule="auto"/>
        <w:ind w:left="20" w:right="-14" w:firstLine="709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Настоящее Соглашение определяет:</w:t>
      </w:r>
    </w:p>
    <w:p w14:paraId="4AC69CF8" w14:textId="44D8A325" w:rsidR="001F71C9" w:rsidRPr="00917672" w:rsidRDefault="00A95AD9" w:rsidP="007C66BE">
      <w:pPr>
        <w:pStyle w:val="af4"/>
        <w:widowControl/>
        <w:numPr>
          <w:ilvl w:val="2"/>
          <w:numId w:val="19"/>
        </w:numPr>
        <w:spacing w:line="276" w:lineRule="auto"/>
        <w:ind w:left="20" w:firstLine="709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Сторон, является основой для совместной деятельности в рамках подготовки и реализации </w:t>
      </w:r>
      <w:r w:rsidR="00275A4F" w:rsidRPr="00917672">
        <w:rPr>
          <w:rFonts w:ascii="Times New Roman" w:hAnsi="Times New Roman" w:cs="Times New Roman"/>
          <w:lang w:bidi="ar-SA"/>
        </w:rPr>
        <w:t xml:space="preserve">Федеральных проектов, в том числе </w:t>
      </w:r>
      <w:r w:rsidRPr="00917672">
        <w:rPr>
          <w:rFonts w:ascii="Times New Roman" w:hAnsi="Times New Roman" w:cs="Times New Roman"/>
          <w:lang w:bidi="ar-SA"/>
        </w:rPr>
        <w:t>проектов</w:t>
      </w:r>
      <w:r w:rsidR="00D861E7">
        <w:rPr>
          <w:rFonts w:ascii="Times New Roman" w:hAnsi="Times New Roman" w:cs="Times New Roman"/>
          <w:lang w:bidi="ar-SA"/>
        </w:rPr>
        <w:t xml:space="preserve"> по</w:t>
      </w:r>
      <w:r w:rsidRPr="00917672">
        <w:rPr>
          <w:rFonts w:ascii="Times New Roman" w:hAnsi="Times New Roman" w:cs="Times New Roman"/>
          <w:lang w:bidi="ar-SA"/>
        </w:rPr>
        <w:t xml:space="preserve"> повышени</w:t>
      </w:r>
      <w:r w:rsidR="00D861E7">
        <w:rPr>
          <w:rFonts w:ascii="Times New Roman" w:hAnsi="Times New Roman" w:cs="Times New Roman"/>
          <w:lang w:bidi="ar-SA"/>
        </w:rPr>
        <w:t>ю</w:t>
      </w:r>
      <w:r w:rsidRPr="00917672">
        <w:rPr>
          <w:rFonts w:ascii="Times New Roman" w:hAnsi="Times New Roman" w:cs="Times New Roman"/>
          <w:lang w:bidi="ar-SA"/>
        </w:rPr>
        <w:t xml:space="preserve"> производительности труда, а также подготовки документов (проектов, программ, заявок, докладов, экспертных заключений, публикаций, отчётов);</w:t>
      </w:r>
    </w:p>
    <w:p w14:paraId="4080A1B2" w14:textId="77777777" w:rsidR="001F71C9" w:rsidRPr="00917672" w:rsidRDefault="00A95AD9" w:rsidP="007C66BE">
      <w:pPr>
        <w:pStyle w:val="af4"/>
        <w:widowControl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14:paraId="21C80E12" w14:textId="77777777" w:rsidR="00275A4F" w:rsidRPr="00917672" w:rsidRDefault="00275A4F" w:rsidP="007C66BE">
      <w:pPr>
        <w:pStyle w:val="af4"/>
        <w:widowControl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14:paraId="12D08B4E" w14:textId="77777777" w:rsidR="004B7EFD" w:rsidRPr="002A6A20" w:rsidRDefault="004B7EFD" w:rsidP="007C66BE">
      <w:pPr>
        <w:pStyle w:val="af4"/>
        <w:widowControl/>
        <w:spacing w:line="276" w:lineRule="auto"/>
        <w:ind w:left="0" w:firstLine="709"/>
        <w:jc w:val="both"/>
        <w:rPr>
          <w:lang w:bidi="ar-SA"/>
        </w:rPr>
      </w:pPr>
    </w:p>
    <w:p w14:paraId="657CDCBE" w14:textId="77777777" w:rsidR="004B7EFD" w:rsidRPr="004B7EFD" w:rsidRDefault="00A95AD9" w:rsidP="007C66BE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right="338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Порядок взаимодействия Сторон</w:t>
      </w:r>
    </w:p>
    <w:p w14:paraId="022D41B7" w14:textId="77777777" w:rsidR="004B7EFD" w:rsidRPr="004B7EFD" w:rsidRDefault="004B7EFD" w:rsidP="007C66BE">
      <w:pPr>
        <w:pStyle w:val="20"/>
        <w:shd w:val="clear" w:color="auto" w:fill="auto"/>
        <w:spacing w:line="276" w:lineRule="auto"/>
        <w:ind w:right="3380" w:firstLine="709"/>
        <w:jc w:val="both"/>
        <w:rPr>
          <w:sz w:val="24"/>
          <w:szCs w:val="24"/>
        </w:rPr>
      </w:pPr>
    </w:p>
    <w:p w14:paraId="1D3EB10C" w14:textId="77777777" w:rsidR="00DB52EC" w:rsidRPr="00B65C5B" w:rsidRDefault="00DB52EC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>:</w:t>
      </w:r>
    </w:p>
    <w:p w14:paraId="091AC93F" w14:textId="77777777" w:rsidR="00DB52EC" w:rsidRPr="00B65C5B" w:rsidRDefault="00DB52EC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</w:pPr>
      <w:r w:rsidRPr="00B65C5B">
        <w:rPr>
          <w:rFonts w:hint="eastAsia"/>
          <w:sz w:val="24"/>
          <w:szCs w:val="24"/>
        </w:rPr>
        <w:t>оказывает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методологическую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консультационную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информационную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поддержку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при</w:t>
      </w:r>
      <w:r w:rsidR="00975533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разработке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</w:rPr>
        <w:t>редприяти</w:t>
      </w:r>
      <w:r w:rsidR="00890AB6"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</w:rPr>
        <w:t>;</w:t>
      </w:r>
    </w:p>
    <w:p w14:paraId="63A71C9F" w14:textId="77777777" w:rsidR="00DB52EC" w:rsidRPr="00B65C5B" w:rsidRDefault="00DB52EC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</w:pPr>
      <w:r w:rsidRPr="00B65C5B">
        <w:rPr>
          <w:rFonts w:hint="eastAsia"/>
          <w:sz w:val="24"/>
          <w:szCs w:val="24"/>
        </w:rPr>
        <w:t>осуществляет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хода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917672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достижения</w:t>
      </w:r>
      <w:r w:rsidR="003C181F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значений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показателей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результативности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</w:t>
      </w:r>
      <w:r w:rsidR="00CD1A21" w:rsidRPr="00B65C5B">
        <w:rPr>
          <w:rFonts w:hint="eastAsia"/>
          <w:sz w:val="24"/>
          <w:szCs w:val="24"/>
        </w:rPr>
        <w:t>редприятия</w:t>
      </w:r>
      <w:r w:rsidRPr="00B65C5B">
        <w:rPr>
          <w:sz w:val="24"/>
          <w:szCs w:val="24"/>
        </w:rPr>
        <w:t>.</w:t>
      </w:r>
    </w:p>
    <w:p w14:paraId="1D01FC72" w14:textId="347A744B" w:rsidR="0097556F" w:rsidRPr="00B65C5B" w:rsidRDefault="0097556F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</w:pPr>
      <w:proofErr w:type="gramStart"/>
      <w:r w:rsidRPr="00B65C5B">
        <w:rPr>
          <w:rFonts w:hint="eastAsia"/>
          <w:sz w:val="24"/>
          <w:szCs w:val="24"/>
        </w:rPr>
        <w:t>имеет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право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передавать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сведения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том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числе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отчетные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материалы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касающиеся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настоящего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="007C66BE">
        <w:rPr>
          <w:sz w:val="24"/>
          <w:szCs w:val="24"/>
        </w:rPr>
        <w:t>,</w:t>
      </w:r>
      <w:bookmarkStart w:id="0" w:name="_GoBack"/>
      <w:bookmarkEnd w:id="0"/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экономического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развития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Российской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Федерации</w:t>
      </w:r>
      <w:r w:rsidR="00890AB6" w:rsidRPr="00B65C5B">
        <w:rPr>
          <w:sz w:val="24"/>
          <w:szCs w:val="24"/>
          <w:lang w:bidi="ar-SA"/>
        </w:rPr>
        <w:t>,</w:t>
      </w:r>
      <w:r w:rsidR="00BE74E7" w:rsidRPr="00BE74E7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lastRenderedPageBreak/>
        <w:t>А</w:t>
      </w:r>
      <w:r w:rsidR="005F54CB" w:rsidRPr="005F54CB">
        <w:rPr>
          <w:rFonts w:hint="eastAsia"/>
          <w:sz w:val="24"/>
          <w:szCs w:val="24"/>
          <w:lang w:bidi="ar-SA"/>
        </w:rPr>
        <w:t>втономную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sz w:val="24"/>
          <w:szCs w:val="24"/>
          <w:lang w:bidi="ar-SA"/>
        </w:rPr>
        <w:t>н</w:t>
      </w:r>
      <w:r w:rsidR="005F54CB" w:rsidRPr="005F54CB">
        <w:rPr>
          <w:rFonts w:hint="eastAsia"/>
          <w:sz w:val="24"/>
          <w:szCs w:val="24"/>
          <w:lang w:bidi="ar-SA"/>
        </w:rPr>
        <w:t>екоммерческую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организацию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«Ф</w:t>
      </w:r>
      <w:r w:rsidR="005F54CB" w:rsidRPr="005F54CB">
        <w:rPr>
          <w:rFonts w:hint="eastAsia"/>
          <w:sz w:val="24"/>
          <w:szCs w:val="24"/>
          <w:lang w:bidi="ar-SA"/>
        </w:rPr>
        <w:t>едеральный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центр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компетенций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в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сфере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производительности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труда</w:t>
      </w:r>
      <w:r w:rsidR="004A06C2" w:rsidRPr="005F54CB">
        <w:rPr>
          <w:sz w:val="24"/>
          <w:szCs w:val="24"/>
          <w:lang w:bidi="ar-SA"/>
        </w:rPr>
        <w:t>»</w:t>
      </w:r>
      <w:r w:rsidR="00F13F0D">
        <w:rPr>
          <w:sz w:val="24"/>
          <w:szCs w:val="24"/>
          <w:lang w:bidi="ar-SA"/>
        </w:rPr>
        <w:t xml:space="preserve"> (далее – Федеральный Центр Компетенций)</w:t>
      </w:r>
      <w:r w:rsidR="00C5680F">
        <w:rPr>
          <w:sz w:val="24"/>
          <w:szCs w:val="24"/>
          <w:lang w:bidi="ar-SA"/>
        </w:rPr>
        <w:t>, Федеральную службу государственной статистики и Федеральную налоговую службу</w:t>
      </w:r>
      <w:r w:rsidRPr="005F54C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гарантиями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сохранения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конфиденциальности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обеспечения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режима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защиты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несанкционированного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доступа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без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предварительного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согласия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Предприятия</w:t>
      </w:r>
      <w:r w:rsidRPr="00B65C5B">
        <w:rPr>
          <w:sz w:val="24"/>
          <w:szCs w:val="24"/>
        </w:rPr>
        <w:t>.</w:t>
      </w:r>
      <w:proofErr w:type="gramEnd"/>
    </w:p>
    <w:p w14:paraId="703E5E7A" w14:textId="77777777" w:rsidR="00DB52EC" w:rsidRPr="00B65C5B" w:rsidRDefault="00DB52EC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Предприятие</w:t>
      </w:r>
      <w:r w:rsidRPr="00B65C5B">
        <w:rPr>
          <w:sz w:val="24"/>
          <w:szCs w:val="24"/>
        </w:rPr>
        <w:t>:</w:t>
      </w:r>
    </w:p>
    <w:p w14:paraId="23BB6FF3" w14:textId="77777777" w:rsidR="00DB52EC" w:rsidRPr="00B65C5B" w:rsidRDefault="00DB52EC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создает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рабочую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группу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мероприятий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275A4F"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  <w:lang w:bidi="ar-SA"/>
        </w:rPr>
        <w:t>редприятия</w:t>
      </w:r>
      <w:r w:rsidRPr="00B65C5B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  <w:lang w:bidi="ar-SA"/>
        </w:rPr>
        <w:t>представителей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экспертных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организаций</w:t>
      </w:r>
      <w:r w:rsidRPr="00B65C5B">
        <w:rPr>
          <w:sz w:val="24"/>
          <w:szCs w:val="24"/>
          <w:lang w:bidi="ar-SA"/>
        </w:rPr>
        <w:t xml:space="preserve"> (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согласованию</w:t>
      </w:r>
      <w:r w:rsidRPr="00B65C5B">
        <w:rPr>
          <w:sz w:val="24"/>
          <w:szCs w:val="24"/>
          <w:lang w:bidi="ar-SA"/>
        </w:rPr>
        <w:t>);</w:t>
      </w:r>
    </w:p>
    <w:p w14:paraId="68C27A0B" w14:textId="77777777" w:rsidR="00DB52EC" w:rsidRPr="00B65C5B" w:rsidRDefault="00DB52EC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возможность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обучения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полным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отрывом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07D0DDC1" w14:textId="77777777" w:rsidR="00DB52EC" w:rsidRPr="00B65C5B" w:rsidRDefault="00DB52EC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назначает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приказом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ответственного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за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выполнение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72D7DBD9" w14:textId="77777777" w:rsidR="003C181F" w:rsidRPr="00B65C5B" w:rsidRDefault="00DB52EC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</w:t>
      </w:r>
      <w:r w:rsidR="003C181F" w:rsidRPr="00B65C5B">
        <w:rPr>
          <w:rFonts w:hint="eastAsia"/>
          <w:sz w:val="24"/>
          <w:szCs w:val="24"/>
          <w:lang w:bidi="ar-SA"/>
        </w:rPr>
        <w:t>отку</w:t>
      </w:r>
      <w:r w:rsidR="003C181F" w:rsidRPr="00B65C5B">
        <w:rPr>
          <w:sz w:val="24"/>
          <w:szCs w:val="24"/>
          <w:lang w:bidi="ar-SA"/>
        </w:rPr>
        <w:t xml:space="preserve">, </w:t>
      </w:r>
      <w:r w:rsidR="003C181F" w:rsidRPr="00B65C5B">
        <w:rPr>
          <w:rFonts w:hint="eastAsia"/>
          <w:sz w:val="24"/>
          <w:szCs w:val="24"/>
          <w:lang w:bidi="ar-SA"/>
        </w:rPr>
        <w:t>утверждение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и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реализацию</w:t>
      </w:r>
      <w:r w:rsidR="003C181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14:paraId="5E1A1083" w14:textId="77777777" w:rsidR="003C181F" w:rsidRPr="004B7EFD" w:rsidRDefault="003C181F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оказывает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содействие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членам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доступ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к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требуемой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информации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разработки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4B7EFD">
        <w:rPr>
          <w:sz w:val="24"/>
          <w:szCs w:val="24"/>
          <w:lang w:bidi="ar-SA"/>
        </w:rPr>
        <w:t>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>;</w:t>
      </w:r>
    </w:p>
    <w:p w14:paraId="28F85505" w14:textId="77777777" w:rsidR="003C181F" w:rsidRPr="004B7EFD" w:rsidRDefault="003C181F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проводит анализ хода реализации </w:t>
      </w:r>
      <w:r w:rsidR="00121AE1" w:rsidRPr="004B7EFD">
        <w:rPr>
          <w:sz w:val="24"/>
          <w:szCs w:val="24"/>
          <w:lang w:bidi="ar-SA"/>
        </w:rPr>
        <w:t>отдельных мероприятий Федеральных 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 xml:space="preserve">, в том числе достижение целевых показателей </w:t>
      </w:r>
      <w:r w:rsidR="00D861E7">
        <w:rPr>
          <w:sz w:val="24"/>
          <w:szCs w:val="24"/>
          <w:lang w:bidi="ar-SA"/>
        </w:rPr>
        <w:t xml:space="preserve">и результатов </w:t>
      </w:r>
      <w:r w:rsidR="00121AE1" w:rsidRPr="004B7EFD">
        <w:rPr>
          <w:sz w:val="24"/>
          <w:szCs w:val="24"/>
          <w:lang w:bidi="ar-SA"/>
        </w:rPr>
        <w:t>Федеральных проектов</w:t>
      </w:r>
      <w:r w:rsidR="00CD1A21" w:rsidRPr="004B7EFD">
        <w:rPr>
          <w:sz w:val="24"/>
          <w:szCs w:val="24"/>
          <w:lang w:bidi="ar-SA"/>
        </w:rPr>
        <w:t xml:space="preserve"> Предприятия</w:t>
      </w:r>
      <w:r w:rsidRPr="004B7EFD">
        <w:rPr>
          <w:sz w:val="24"/>
          <w:szCs w:val="24"/>
          <w:lang w:bidi="ar-SA"/>
        </w:rPr>
        <w:t>;</w:t>
      </w:r>
    </w:p>
    <w:p w14:paraId="59E27C14" w14:textId="77777777" w:rsidR="0045299B" w:rsidRPr="0044495B" w:rsidRDefault="003C181F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color w:val="auto"/>
          <w:lang w:bidi="ar-SA"/>
        </w:rPr>
      </w:pPr>
      <w:r w:rsidRPr="0044495B">
        <w:rPr>
          <w:color w:val="auto"/>
          <w:sz w:val="24"/>
          <w:szCs w:val="24"/>
          <w:lang w:bidi="ar-SA"/>
        </w:rPr>
        <w:t xml:space="preserve">обеспечивает представление в Министерство для дальнейшего предоставления в </w:t>
      </w:r>
      <w:r w:rsidR="00CD1A21" w:rsidRPr="0044495B">
        <w:rPr>
          <w:color w:val="auto"/>
          <w:sz w:val="24"/>
          <w:szCs w:val="24"/>
          <w:lang w:bidi="ar-SA"/>
        </w:rPr>
        <w:t>Министерство экономического развития Российской Федерации</w:t>
      </w:r>
      <w:r w:rsidR="0035158A" w:rsidRPr="0044495B">
        <w:rPr>
          <w:color w:val="auto"/>
          <w:sz w:val="24"/>
          <w:szCs w:val="24"/>
          <w:lang w:bidi="ar-SA"/>
        </w:rPr>
        <w:t xml:space="preserve">: </w:t>
      </w:r>
    </w:p>
    <w:p w14:paraId="60BEEE3F" w14:textId="45F78E7E" w:rsidR="0045299B" w:rsidRPr="00D861E7" w:rsidRDefault="003C181F" w:rsidP="007C66BE">
      <w:pPr>
        <w:pStyle w:val="af4"/>
        <w:widowControl/>
        <w:numPr>
          <w:ilvl w:val="3"/>
          <w:numId w:val="1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данных мониторинга реализации </w:t>
      </w:r>
      <w:r w:rsidR="00121AE1" w:rsidRPr="004864B3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Федеральных </w:t>
      </w:r>
      <w:r w:rsidR="00121AE1" w:rsidRPr="00D861E7">
        <w:rPr>
          <w:rFonts w:ascii="Times New Roman" w:eastAsia="Times New Roman" w:hAnsi="Times New Roman" w:cs="Times New Roman"/>
          <w:color w:val="auto"/>
          <w:lang w:bidi="ar-SA"/>
        </w:rPr>
        <w:t>проектов</w:t>
      </w:r>
      <w:r w:rsidR="00CD1A21"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Pr="00D861E7">
        <w:rPr>
          <w:rFonts w:ascii="Times New Roman" w:eastAsia="Times New Roman" w:hAnsi="Times New Roman" w:cs="Times New Roman"/>
          <w:color w:val="auto"/>
          <w:lang w:bidi="ar-SA"/>
        </w:rPr>
        <w:t xml:space="preserve"> (по согласованию)</w:t>
      </w:r>
      <w:r w:rsidR="00360FE2" w:rsidRPr="00D861E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7C6BEB5" w14:textId="45225FA0" w:rsidR="0045299B" w:rsidRPr="0044495B" w:rsidRDefault="00F13F0D" w:rsidP="007C66BE">
      <w:pPr>
        <w:pStyle w:val="af4"/>
        <w:widowControl/>
        <w:numPr>
          <w:ilvl w:val="3"/>
          <w:numId w:val="1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предоставление </w:t>
      </w:r>
      <w:r w:rsidR="003C181F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отчета о достижении значений показателей результативности </w:t>
      </w:r>
      <w:r w:rsidR="00121AE1" w:rsidRPr="0044495B">
        <w:rPr>
          <w:rFonts w:ascii="Times New Roman" w:eastAsia="Times New Roman" w:hAnsi="Times New Roman" w:cs="Times New Roman"/>
          <w:color w:val="auto"/>
          <w:lang w:bidi="ar-SA"/>
        </w:rPr>
        <w:t>отдельных мероприятий Федеральных проектов</w:t>
      </w:r>
      <w:r w:rsidR="00CD1A21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="003C181F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(ежегодно</w:t>
      </w:r>
      <w:r w:rsidR="006E2237">
        <w:t xml:space="preserve"> </w:t>
      </w:r>
      <w:r w:rsidR="006E2237">
        <w:rPr>
          <w:rFonts w:ascii="Times New Roman" w:eastAsia="Times New Roman" w:hAnsi="Times New Roman" w:cs="Times New Roman"/>
          <w:color w:val="auto"/>
          <w:lang w:bidi="ar-SA"/>
        </w:rPr>
        <w:t>в срок до 15 числа</w:t>
      </w:r>
      <w:r w:rsidR="006E2237" w:rsidRPr="006E2237">
        <w:rPr>
          <w:rFonts w:ascii="Times New Roman" w:eastAsia="Times New Roman" w:hAnsi="Times New Roman" w:cs="Times New Roman"/>
          <w:color w:val="auto"/>
          <w:lang w:bidi="ar-SA"/>
        </w:rPr>
        <w:t xml:space="preserve"> месяца, следующего за отчетным</w:t>
      </w:r>
      <w:r w:rsidR="003C181F" w:rsidRPr="006E2237">
        <w:rPr>
          <w:rFonts w:ascii="Times New Roman" w:eastAsia="Times New Roman" w:hAnsi="Times New Roman" w:cs="Times New Roman"/>
          <w:color w:val="auto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="006E22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BE1D9C2" w14:textId="41E302E9" w:rsidR="00D861E7" w:rsidRPr="00D861E7" w:rsidRDefault="00D861E7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sz w:val="24"/>
          <w:szCs w:val="24"/>
          <w:lang w:bidi="ar-SA"/>
        </w:rPr>
      </w:pPr>
      <w:r w:rsidRPr="00D861E7">
        <w:rPr>
          <w:sz w:val="24"/>
          <w:szCs w:val="24"/>
          <w:lang w:bidi="ar-SA"/>
        </w:rPr>
        <w:t xml:space="preserve">предусматривает целевые показатели по приросту производительности труда не менее 5% ежегодно, а в случае получения расширенной поддержки </w:t>
      </w:r>
      <w:r w:rsidR="00F13F0D">
        <w:rPr>
          <w:sz w:val="24"/>
          <w:szCs w:val="24"/>
          <w:lang w:bidi="ar-SA"/>
        </w:rPr>
        <w:t xml:space="preserve">Федерального Центра Компетенций </w:t>
      </w:r>
      <w:r w:rsidRPr="00D861E7">
        <w:rPr>
          <w:sz w:val="24"/>
          <w:szCs w:val="24"/>
          <w:lang w:bidi="ar-SA"/>
        </w:rPr>
        <w:t>не менее 10% ежегодно</w:t>
      </w:r>
      <w:r w:rsidR="00F13F0D">
        <w:rPr>
          <w:sz w:val="24"/>
          <w:szCs w:val="24"/>
          <w:lang w:bidi="ar-SA"/>
        </w:rPr>
        <w:t>,</w:t>
      </w:r>
      <w:r w:rsidRPr="00D861E7">
        <w:rPr>
          <w:sz w:val="24"/>
          <w:szCs w:val="24"/>
          <w:lang w:bidi="ar-SA"/>
        </w:rPr>
        <w:t xml:space="preserve"> в соответствии</w:t>
      </w:r>
      <w:r>
        <w:rPr>
          <w:sz w:val="24"/>
          <w:szCs w:val="24"/>
          <w:lang w:bidi="ar-SA"/>
        </w:rPr>
        <w:t xml:space="preserve"> </w:t>
      </w:r>
      <w:r w:rsidRPr="00D861E7">
        <w:rPr>
          <w:sz w:val="24"/>
          <w:szCs w:val="24"/>
          <w:lang w:bidi="ar-SA"/>
        </w:rPr>
        <w:t>с Методикой, утвержденной приказом Минэкономразвития России</w:t>
      </w:r>
      <w:r w:rsidR="00F13F0D">
        <w:rPr>
          <w:sz w:val="24"/>
          <w:szCs w:val="24"/>
          <w:lang w:bidi="ar-SA"/>
        </w:rPr>
        <w:t>;</w:t>
      </w:r>
    </w:p>
    <w:p w14:paraId="326BC596" w14:textId="47AB292F" w:rsidR="00B65C5B" w:rsidRPr="00360FE2" w:rsidRDefault="00F13F0D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вправе воспользоваться мерами поддержки, которые реализуются Федеральным Центром Компетенций в рамках Федерального проекта </w:t>
      </w:r>
      <w:r w:rsidRPr="004B7EFD">
        <w:rPr>
          <w:sz w:val="24"/>
          <w:szCs w:val="24"/>
        </w:rPr>
        <w:t>«Адресная поддержка повышения производительности труда на предприятиях»</w:t>
      </w:r>
      <w:r>
        <w:rPr>
          <w:sz w:val="24"/>
          <w:szCs w:val="24"/>
        </w:rPr>
        <w:t>;</w:t>
      </w:r>
    </w:p>
    <w:p w14:paraId="6B87EAB9" w14:textId="4205AC68" w:rsidR="00CE1066" w:rsidRPr="00360FE2" w:rsidRDefault="007C66BE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  <w:r w:rsidR="00DB1782">
        <w:rPr>
          <w:sz w:val="24"/>
          <w:szCs w:val="24"/>
          <w:lang w:bidi="ar-SA"/>
        </w:rPr>
        <w:t>п</w:t>
      </w:r>
      <w:r w:rsidR="00CE1066" w:rsidRPr="00360FE2">
        <w:rPr>
          <w:sz w:val="24"/>
          <w:szCs w:val="24"/>
          <w:lang w:bidi="ar-SA"/>
        </w:rPr>
        <w:t>риобретает статус участника национального проекта «Производительность труда</w:t>
      </w:r>
      <w:r w:rsidR="00D861E7">
        <w:rPr>
          <w:sz w:val="24"/>
          <w:szCs w:val="24"/>
          <w:lang w:bidi="ar-SA"/>
        </w:rPr>
        <w:t>»</w:t>
      </w:r>
      <w:r w:rsidR="00F13F0D">
        <w:rPr>
          <w:sz w:val="24"/>
          <w:szCs w:val="24"/>
          <w:lang w:bidi="ar-SA"/>
        </w:rPr>
        <w:t>;</w:t>
      </w:r>
    </w:p>
    <w:p w14:paraId="5844B63D" w14:textId="6EB3F343" w:rsidR="002A0795" w:rsidRPr="007C5C1B" w:rsidRDefault="007C66BE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  <w:proofErr w:type="gramStart"/>
      <w:r w:rsidR="007C5C1B" w:rsidRPr="007C5C1B">
        <w:rPr>
          <w:sz w:val="24"/>
          <w:szCs w:val="24"/>
          <w:lang w:bidi="ar-SA"/>
        </w:rPr>
        <w:t xml:space="preserve">предоставляет Министерству отчетную информацию о показателях национального проекта «Производительность труда» по форме Приложения № 1 на основании данных налоговой отчетности предприятия в течение 14 дней с момента подписания соглашения и далее ежегодно в срок до 25 апреля года, следующего за отчетным периодом, (в </w:t>
      </w:r>
      <w:r w:rsidR="007C5C1B" w:rsidRPr="007C5C1B">
        <w:rPr>
          <w:sz w:val="24"/>
          <w:szCs w:val="24"/>
          <w:lang w:bidi="ar-SA"/>
        </w:rPr>
        <w:lastRenderedPageBreak/>
        <w:t>течение 3 (трех)</w:t>
      </w:r>
      <w:r w:rsidR="007C5C1B">
        <w:rPr>
          <w:sz w:val="24"/>
          <w:szCs w:val="24"/>
          <w:lang w:bidi="ar-SA"/>
        </w:rPr>
        <w:t xml:space="preserve"> </w:t>
      </w:r>
      <w:r w:rsidR="007C5C1B" w:rsidRPr="007C5C1B">
        <w:rPr>
          <w:sz w:val="24"/>
          <w:szCs w:val="24"/>
          <w:lang w:bidi="ar-SA"/>
        </w:rPr>
        <w:t>лет) путем актуализации информации в части фактических и прогнозных данных</w:t>
      </w:r>
      <w:r w:rsidR="0044495B" w:rsidRPr="007C5C1B">
        <w:rPr>
          <w:sz w:val="24"/>
          <w:szCs w:val="24"/>
          <w:lang w:bidi="ar-SA"/>
        </w:rPr>
        <w:t>;</w:t>
      </w:r>
      <w:proofErr w:type="gramEnd"/>
    </w:p>
    <w:p w14:paraId="5F1025E3" w14:textId="6CBC208F" w:rsidR="00BD7D59" w:rsidRPr="00B21F52" w:rsidRDefault="00BD7D59" w:rsidP="007C66BE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0" w:right="20" w:firstLine="709"/>
        <w:jc w:val="both"/>
        <w:rPr>
          <w:lang w:bidi="ar-SA"/>
        </w:rPr>
      </w:pPr>
      <w:proofErr w:type="gramStart"/>
      <w:r w:rsidRPr="004B7EFD">
        <w:rPr>
          <w:sz w:val="24"/>
          <w:szCs w:val="24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</w:t>
      </w:r>
      <w:r w:rsidR="005D3CC9" w:rsidRPr="004B7EFD">
        <w:rPr>
          <w:sz w:val="24"/>
          <w:szCs w:val="24"/>
          <w:lang w:bidi="ar-SA"/>
        </w:rPr>
        <w:t xml:space="preserve">Министерство экономического развития </w:t>
      </w:r>
      <w:r w:rsidRPr="004B7EFD">
        <w:rPr>
          <w:sz w:val="24"/>
          <w:szCs w:val="24"/>
          <w:lang w:bidi="ar-SA"/>
        </w:rPr>
        <w:t xml:space="preserve">Российской Федерации и </w:t>
      </w:r>
      <w:r w:rsidR="007C66BE">
        <w:rPr>
          <w:sz w:val="24"/>
          <w:szCs w:val="24"/>
          <w:lang w:bidi="ar-SA"/>
        </w:rPr>
        <w:t>Федеральный Центр Компетенций</w:t>
      </w:r>
      <w:r w:rsidRPr="004B7EFD">
        <w:rPr>
          <w:sz w:val="24"/>
          <w:szCs w:val="24"/>
          <w:lang w:bidi="ar-SA"/>
        </w:rPr>
        <w:t xml:space="preserve">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  <w:proofErr w:type="gramEnd"/>
    </w:p>
    <w:p w14:paraId="78120AF1" w14:textId="77777777" w:rsidR="00F13F0D" w:rsidRPr="00FE6B5E" w:rsidRDefault="00F13F0D" w:rsidP="007C66BE">
      <w:pPr>
        <w:pStyle w:val="20"/>
        <w:shd w:val="clear" w:color="auto" w:fill="auto"/>
        <w:spacing w:line="276" w:lineRule="auto"/>
        <w:ind w:left="851" w:right="20" w:firstLine="709"/>
        <w:jc w:val="both"/>
        <w:rPr>
          <w:lang w:bidi="ar-SA"/>
        </w:rPr>
      </w:pPr>
    </w:p>
    <w:p w14:paraId="098A6C9B" w14:textId="673ABF27" w:rsidR="001F71C9" w:rsidRDefault="00A95AD9" w:rsidP="007C66BE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right="338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Конфиденциальность</w:t>
      </w:r>
    </w:p>
    <w:p w14:paraId="53C421E5" w14:textId="77777777" w:rsidR="00F13F0D" w:rsidRPr="00B65C5B" w:rsidRDefault="00F13F0D" w:rsidP="007C66BE">
      <w:pPr>
        <w:pStyle w:val="20"/>
        <w:shd w:val="clear" w:color="auto" w:fill="auto"/>
        <w:spacing w:line="276" w:lineRule="auto"/>
        <w:ind w:left="851" w:right="3380" w:firstLine="709"/>
        <w:jc w:val="both"/>
        <w:rPr>
          <w:sz w:val="24"/>
          <w:szCs w:val="24"/>
        </w:rPr>
      </w:pPr>
    </w:p>
    <w:p w14:paraId="1E752272" w14:textId="77777777" w:rsidR="001F71C9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В рамках </w:t>
      </w:r>
      <w:r w:rsidR="00883AF0" w:rsidRPr="004B7EFD">
        <w:rPr>
          <w:sz w:val="24"/>
          <w:szCs w:val="24"/>
        </w:rPr>
        <w:t>осуществления сотрудничества по Соглашению</w:t>
      </w:r>
      <w:r w:rsidRPr="004B7EFD">
        <w:rPr>
          <w:sz w:val="24"/>
          <w:szCs w:val="24"/>
        </w:rPr>
        <w:t xml:space="preserve"> Предприятие передает членам рабочей группы и Министерству необходимую информацию для дальнейшего предоставления в </w:t>
      </w:r>
      <w:r w:rsidR="005D3CC9" w:rsidRPr="004B7EFD">
        <w:rPr>
          <w:sz w:val="24"/>
          <w:szCs w:val="24"/>
        </w:rPr>
        <w:t>Министерство экономического развития Российской Федерации</w:t>
      </w:r>
      <w:r w:rsidRPr="004B7EFD">
        <w:rPr>
          <w:sz w:val="24"/>
          <w:szCs w:val="24"/>
        </w:rPr>
        <w:t>;</w:t>
      </w:r>
    </w:p>
    <w:p w14:paraId="0EB7225E" w14:textId="77777777" w:rsidR="001F71C9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Передача информации Министерством сторонним организациям производится только по согласованию с Предприятием.</w:t>
      </w:r>
    </w:p>
    <w:p w14:paraId="22AE3768" w14:textId="77777777" w:rsidR="001F71C9" w:rsidRPr="00917672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color w:val="auto"/>
          <w:sz w:val="24"/>
          <w:szCs w:val="24"/>
        </w:rPr>
      </w:pPr>
      <w:r w:rsidRPr="00917672">
        <w:rPr>
          <w:color w:val="auto"/>
          <w:sz w:val="24"/>
          <w:szCs w:val="24"/>
        </w:rPr>
        <w:t>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14:paraId="109060A8" w14:textId="77777777" w:rsidR="00274AB0" w:rsidRPr="00917672" w:rsidRDefault="00274AB0" w:rsidP="007C66BE">
      <w:pPr>
        <w:pStyle w:val="20"/>
        <w:shd w:val="clear" w:color="auto" w:fill="auto"/>
        <w:spacing w:line="276" w:lineRule="auto"/>
        <w:ind w:right="-14" w:firstLine="709"/>
        <w:jc w:val="both"/>
        <w:rPr>
          <w:color w:val="auto"/>
          <w:sz w:val="24"/>
          <w:szCs w:val="24"/>
        </w:rPr>
      </w:pPr>
    </w:p>
    <w:p w14:paraId="0DD8D8A3" w14:textId="1D7031F8" w:rsidR="001F71C9" w:rsidRDefault="00A95AD9" w:rsidP="007C66BE">
      <w:pPr>
        <w:pStyle w:val="20"/>
        <w:numPr>
          <w:ilvl w:val="0"/>
          <w:numId w:val="18"/>
        </w:numPr>
        <w:shd w:val="clear" w:color="auto" w:fill="auto"/>
        <w:spacing w:line="276" w:lineRule="auto"/>
        <w:ind w:left="0" w:right="3380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 Заключительн</w:t>
      </w:r>
      <w:r w:rsidR="00F13F0D">
        <w:rPr>
          <w:sz w:val="24"/>
          <w:szCs w:val="24"/>
        </w:rPr>
        <w:t>ые положения</w:t>
      </w:r>
    </w:p>
    <w:p w14:paraId="2C18AAA4" w14:textId="77777777" w:rsidR="00F13F0D" w:rsidRPr="004B7EFD" w:rsidRDefault="00F13F0D" w:rsidP="007C66BE">
      <w:pPr>
        <w:pStyle w:val="20"/>
        <w:shd w:val="clear" w:color="auto" w:fill="auto"/>
        <w:spacing w:line="276" w:lineRule="auto"/>
        <w:ind w:left="851" w:right="3380" w:firstLine="709"/>
        <w:jc w:val="both"/>
        <w:rPr>
          <w:sz w:val="24"/>
          <w:szCs w:val="24"/>
        </w:rPr>
      </w:pPr>
    </w:p>
    <w:p w14:paraId="52FBA341" w14:textId="77777777" w:rsidR="001F71C9" w:rsidRPr="00274AB0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</w:t>
      </w:r>
      <w:r w:rsidR="00883AF0" w:rsidRPr="004B7EFD">
        <w:rPr>
          <w:sz w:val="24"/>
          <w:szCs w:val="24"/>
        </w:rPr>
        <w:t>ых обязательств</w:t>
      </w:r>
      <w:r w:rsidRPr="00274AB0">
        <w:rPr>
          <w:sz w:val="24"/>
          <w:szCs w:val="24"/>
        </w:rPr>
        <w:t xml:space="preserve"> С</w:t>
      </w:r>
      <w:r w:rsidR="00883AF0" w:rsidRPr="00274AB0">
        <w:rPr>
          <w:sz w:val="24"/>
          <w:szCs w:val="24"/>
        </w:rPr>
        <w:t>торон</w:t>
      </w:r>
      <w:r w:rsidRPr="00274AB0">
        <w:rPr>
          <w:sz w:val="24"/>
          <w:szCs w:val="24"/>
        </w:rPr>
        <w:t>.</w:t>
      </w:r>
    </w:p>
    <w:p w14:paraId="1AB2DDBE" w14:textId="77777777" w:rsidR="001F71C9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14:paraId="5AF16F6E" w14:textId="77777777" w:rsidR="001F71C9" w:rsidRPr="004B7EFD" w:rsidRDefault="00883AF0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О</w:t>
      </w:r>
      <w:r w:rsidR="00A95AD9" w:rsidRPr="004B7EFD">
        <w:rPr>
          <w:sz w:val="24"/>
          <w:szCs w:val="24"/>
        </w:rPr>
        <w:t>тветственными лицами за исполнение настоящего соглашения назначаются:</w:t>
      </w:r>
    </w:p>
    <w:p w14:paraId="7B4CABA5" w14:textId="77777777" w:rsidR="00274AB0" w:rsidRDefault="00274AB0" w:rsidP="007C66BE">
      <w:pPr>
        <w:pStyle w:val="23"/>
        <w:shd w:val="clear" w:color="auto" w:fill="auto"/>
        <w:spacing w:line="276" w:lineRule="auto"/>
        <w:ind w:firstLine="709"/>
        <w:rPr>
          <w:rStyle w:val="1"/>
          <w:sz w:val="24"/>
          <w:szCs w:val="24"/>
        </w:rPr>
      </w:pPr>
    </w:p>
    <w:p w14:paraId="4761CD3B" w14:textId="77777777" w:rsidR="001F71C9" w:rsidRPr="00274AB0" w:rsidRDefault="00A95AD9" w:rsidP="007C66BE">
      <w:pPr>
        <w:pStyle w:val="2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74AB0">
        <w:rPr>
          <w:rStyle w:val="1"/>
          <w:sz w:val="24"/>
          <w:szCs w:val="24"/>
        </w:rPr>
        <w:t>от Предприятия:</w:t>
      </w:r>
    </w:p>
    <w:p w14:paraId="0E0B26AE" w14:textId="77777777" w:rsidR="001F71C9" w:rsidRPr="00D476C7" w:rsidRDefault="0008013D" w:rsidP="007C66BE">
      <w:pPr>
        <w:pStyle w:val="23"/>
        <w:shd w:val="clear" w:color="auto" w:fill="auto"/>
        <w:spacing w:after="300" w:line="276" w:lineRule="auto"/>
        <w:ind w:firstLine="709"/>
        <w:rPr>
          <w:sz w:val="24"/>
          <w:szCs w:val="24"/>
        </w:rPr>
      </w:pPr>
      <w:r w:rsidRPr="00274AB0">
        <w:rPr>
          <w:sz w:val="24"/>
          <w:szCs w:val="24"/>
        </w:rPr>
        <w:t>____________________________________</w:t>
      </w:r>
    </w:p>
    <w:p w14:paraId="5CD7974F" w14:textId="77777777" w:rsidR="001F71C9" w:rsidRPr="00274AB0" w:rsidRDefault="00A95AD9" w:rsidP="007C66BE">
      <w:pPr>
        <w:pStyle w:val="2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274AB0">
        <w:rPr>
          <w:rStyle w:val="1"/>
          <w:sz w:val="24"/>
          <w:szCs w:val="24"/>
        </w:rPr>
        <w:t>от Министерства:</w:t>
      </w:r>
    </w:p>
    <w:p w14:paraId="55D49115" w14:textId="33D0AEEA" w:rsidR="001F71C9" w:rsidRPr="004B7EFD" w:rsidRDefault="001B50E5" w:rsidP="007C66BE">
      <w:pPr>
        <w:pStyle w:val="23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="00D476C7">
        <w:rPr>
          <w:sz w:val="24"/>
          <w:szCs w:val="24"/>
        </w:rPr>
        <w:t>аместитель Министра Ломако Александр Владимирович</w:t>
      </w:r>
    </w:p>
    <w:p w14:paraId="56CEB53C" w14:textId="77777777" w:rsidR="0008013D" w:rsidRPr="00D476C7" w:rsidRDefault="0008013D" w:rsidP="007C66BE">
      <w:pPr>
        <w:pStyle w:val="23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530B9A22" w14:textId="77777777" w:rsidR="001F71C9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274AB0">
        <w:rPr>
          <w:sz w:val="24"/>
          <w:szCs w:val="24"/>
        </w:rPr>
        <w:t xml:space="preserve">Настоящее Соглашение </w:t>
      </w:r>
      <w:proofErr w:type="gramStart"/>
      <w:r w:rsidRPr="00274AB0">
        <w:rPr>
          <w:sz w:val="24"/>
          <w:szCs w:val="24"/>
        </w:rPr>
        <w:t>вступает в силу со дня его подписания и заключается</w:t>
      </w:r>
      <w:proofErr w:type="gramEnd"/>
      <w:r w:rsidRPr="00274AB0">
        <w:rPr>
          <w:sz w:val="24"/>
          <w:szCs w:val="24"/>
        </w:rPr>
        <w:t xml:space="preserve"> на неопределенный срок.</w:t>
      </w:r>
    </w:p>
    <w:p w14:paraId="7F24F44C" w14:textId="77777777" w:rsidR="001F71C9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14:paraId="47BD01AB" w14:textId="77777777" w:rsidR="001F71C9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14:paraId="38F5D2EA" w14:textId="77777777" w:rsidR="001F71C9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lastRenderedPageBreak/>
        <w:t>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14:paraId="49A93406" w14:textId="77777777" w:rsidR="00883AF0" w:rsidRPr="004B7EFD" w:rsidRDefault="00A95AD9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составлено в двух экземплярах, имеющих равную</w:t>
      </w:r>
      <w:r w:rsidR="00883AF0" w:rsidRPr="004B7EFD">
        <w:rPr>
          <w:sz w:val="24"/>
          <w:szCs w:val="24"/>
        </w:rPr>
        <w:t xml:space="preserve"> юридическую силу. </w:t>
      </w:r>
    </w:p>
    <w:p w14:paraId="7B3D9BEC" w14:textId="77777777" w:rsidR="00220C50" w:rsidRPr="004B7EFD" w:rsidRDefault="00220C50" w:rsidP="007C66BE">
      <w:pPr>
        <w:pStyle w:val="20"/>
        <w:numPr>
          <w:ilvl w:val="1"/>
          <w:numId w:val="18"/>
        </w:numPr>
        <w:shd w:val="clear" w:color="auto" w:fill="auto"/>
        <w:spacing w:line="276" w:lineRule="auto"/>
        <w:ind w:left="0" w:right="-14" w:firstLine="709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Неотъемлемой частью настоящего Соглашения является: </w:t>
      </w:r>
    </w:p>
    <w:p w14:paraId="0593B376" w14:textId="77777777" w:rsidR="00274AB0" w:rsidRDefault="00274AB0" w:rsidP="007C66BE">
      <w:pPr>
        <w:pStyle w:val="23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14:paraId="6E78418A" w14:textId="2F82F5E2" w:rsidR="002A6A20" w:rsidRPr="00274AB0" w:rsidRDefault="00220C50" w:rsidP="007C66BE">
      <w:pPr>
        <w:pStyle w:val="23"/>
        <w:spacing w:line="276" w:lineRule="auto"/>
        <w:ind w:firstLine="709"/>
        <w:rPr>
          <w:sz w:val="24"/>
          <w:szCs w:val="24"/>
        </w:rPr>
      </w:pPr>
      <w:r w:rsidRPr="00274AB0">
        <w:rPr>
          <w:sz w:val="24"/>
          <w:szCs w:val="24"/>
        </w:rPr>
        <w:t xml:space="preserve">Приложение № 1– </w:t>
      </w:r>
      <w:r w:rsidR="002A6A20">
        <w:rPr>
          <w:sz w:val="24"/>
          <w:szCs w:val="24"/>
        </w:rPr>
        <w:t>Информация о показателях национального проекта</w:t>
      </w:r>
      <w:r w:rsidR="00F13F0D">
        <w:rPr>
          <w:sz w:val="24"/>
          <w:szCs w:val="24"/>
        </w:rPr>
        <w:t>.</w:t>
      </w:r>
    </w:p>
    <w:p w14:paraId="1D389AAA" w14:textId="77777777" w:rsidR="00883AF0" w:rsidRPr="004B7EFD" w:rsidRDefault="00883AF0" w:rsidP="002C2936">
      <w:pPr>
        <w:pStyle w:val="23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1F9228D4" w14:textId="5E065784" w:rsidR="001F71C9" w:rsidRDefault="00883AF0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4B7EFD">
        <w:rPr>
          <w:sz w:val="24"/>
          <w:szCs w:val="24"/>
        </w:rPr>
        <w:t xml:space="preserve">Подписи и реквизиты Сторон: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5018"/>
      </w:tblGrid>
      <w:tr w:rsidR="00D476C7" w:rsidRPr="00322ABC" w14:paraId="3BEBFAA3" w14:textId="77777777" w:rsidTr="00D476C7">
        <w:tc>
          <w:tcPr>
            <w:tcW w:w="2525" w:type="pct"/>
            <w:shd w:val="clear" w:color="auto" w:fill="auto"/>
          </w:tcPr>
          <w:p w14:paraId="7C827D01" w14:textId="195520BE" w:rsidR="00D93422" w:rsidRPr="00322ABC" w:rsidRDefault="00D476C7" w:rsidP="00D84797">
            <w:pPr>
              <w:jc w:val="both"/>
              <w:rPr>
                <w:rFonts w:ascii="Times New Roman" w:hAnsi="Times New Roman" w:cs="Times New Roman"/>
              </w:rPr>
            </w:pPr>
            <w:r w:rsidRPr="00322ABC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2475" w:type="pct"/>
            <w:shd w:val="clear" w:color="auto" w:fill="auto"/>
          </w:tcPr>
          <w:p w14:paraId="35027FC2" w14:textId="77777777" w:rsidR="00D476C7" w:rsidRPr="00322ABC" w:rsidRDefault="00D476C7" w:rsidP="00D84797">
            <w:pPr>
              <w:jc w:val="both"/>
              <w:rPr>
                <w:rFonts w:ascii="Times New Roman" w:hAnsi="Times New Roman" w:cs="Times New Roman"/>
              </w:rPr>
            </w:pPr>
            <w:r w:rsidRPr="00322ABC">
              <w:rPr>
                <w:rFonts w:ascii="Times New Roman" w:hAnsi="Times New Roman" w:cs="Times New Roman"/>
              </w:rPr>
              <w:t>Предприятие</w:t>
            </w:r>
          </w:p>
        </w:tc>
      </w:tr>
      <w:tr w:rsidR="00D476C7" w:rsidRPr="00322ABC" w14:paraId="00501291" w14:textId="77777777" w:rsidTr="00D476C7">
        <w:tc>
          <w:tcPr>
            <w:tcW w:w="2525" w:type="pct"/>
            <w:shd w:val="clear" w:color="auto" w:fill="auto"/>
          </w:tcPr>
          <w:p w14:paraId="50870866" w14:textId="7B6C4D33" w:rsidR="00D93422" w:rsidRDefault="00D93422" w:rsidP="00D93422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C03F2">
              <w:rPr>
                <w:rFonts w:ascii="Times New Roman" w:hAnsi="Times New Roman" w:cs="Times New Roman"/>
                <w:b/>
              </w:rPr>
              <w:t xml:space="preserve">Министерство </w:t>
            </w:r>
            <w:proofErr w:type="gramStart"/>
            <w:r w:rsidRPr="00CC03F2">
              <w:rPr>
                <w:rFonts w:ascii="Times New Roman" w:hAnsi="Times New Roman" w:cs="Times New Roman"/>
                <w:b/>
              </w:rPr>
              <w:t>экономического</w:t>
            </w:r>
            <w:proofErr w:type="gramEnd"/>
            <w:r w:rsidRPr="00CC03F2">
              <w:rPr>
                <w:rFonts w:ascii="Times New Roman" w:hAnsi="Times New Roman" w:cs="Times New Roman"/>
                <w:b/>
              </w:rPr>
              <w:t xml:space="preserve"> развития Республики Карелия</w:t>
            </w:r>
          </w:p>
          <w:p w14:paraId="04554562" w14:textId="77777777" w:rsidR="00D93422" w:rsidRDefault="00D93422" w:rsidP="00D93422">
            <w:pPr>
              <w:widowControl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653841C" w14:textId="77777777" w:rsidR="00D93422" w:rsidRPr="009105CE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9105C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Юридический, почтовый адрес: 1850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35</w:t>
            </w:r>
            <w:r w:rsidRPr="009105C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, Республика Карелия, г. Петрозаводск, ул. Андропова, д. 2</w:t>
            </w:r>
          </w:p>
          <w:p w14:paraId="5D001943" w14:textId="77777777" w:rsidR="00D93422" w:rsidRPr="00C27AFC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C27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ИНН </w:t>
            </w:r>
            <w:r w:rsidRPr="00C27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1001041065</w:t>
            </w:r>
            <w:r w:rsidRPr="00C27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КПП 100101001</w:t>
            </w:r>
          </w:p>
          <w:p w14:paraId="67D5F92D" w14:textId="6E91414F" w:rsidR="00D93422" w:rsidRPr="009105CE" w:rsidRDefault="004B16B5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Тел.: (8142) 55-98-</w:t>
            </w:r>
            <w:r w:rsidR="00D93422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</w:t>
            </w:r>
            <w:r w:rsidR="00D93422" w:rsidRPr="009105C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,Факс (814-2) 78-10-39</w:t>
            </w:r>
          </w:p>
          <w:p w14:paraId="16C52B63" w14:textId="77777777" w:rsidR="00D93422" w:rsidRPr="00322ABC" w:rsidRDefault="00D93422" w:rsidP="00D93422">
            <w:pPr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2"/>
                <w:szCs w:val="22"/>
                <w:u w:val="single"/>
                <w:lang w:bidi="ar-SA"/>
              </w:rPr>
            </w:pPr>
            <w:r w:rsidRPr="00322AB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E</w:t>
            </w:r>
            <w:r w:rsidRPr="00D476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-</w:t>
            </w:r>
            <w:r w:rsidRPr="00322AB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mail</w:t>
            </w:r>
            <w:r w:rsidRPr="00D476C7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: </w:t>
            </w:r>
            <w:hyperlink r:id="rId9" w:history="1">
              <w:r w:rsidRPr="00322ABC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u w:val="single"/>
                  <w:lang w:val="en-US" w:bidi="ar-SA"/>
                </w:rPr>
                <w:t>economy</w:t>
              </w:r>
              <w:r w:rsidRPr="00D476C7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u w:val="single"/>
                  <w:lang w:bidi="ar-SA"/>
                </w:rPr>
                <w:t>@</w:t>
              </w:r>
              <w:proofErr w:type="spellStart"/>
              <w:r w:rsidRPr="00322ABC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u w:val="single"/>
                  <w:lang w:val="en-US" w:bidi="ar-SA"/>
                </w:rPr>
                <w:t>karelia</w:t>
              </w:r>
              <w:proofErr w:type="spellEnd"/>
              <w:r w:rsidRPr="00D476C7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u w:val="single"/>
                  <w:lang w:bidi="ar-SA"/>
                </w:rPr>
                <w:t>.</w:t>
              </w:r>
              <w:proofErr w:type="spellStart"/>
              <w:r w:rsidRPr="00322ABC">
                <w:rPr>
                  <w:rFonts w:ascii="Times New Roman" w:eastAsia="Times New Roman" w:hAnsi="Times New Roman" w:cs="Times New Roman"/>
                  <w:bCs/>
                  <w:color w:val="0000FF"/>
                  <w:sz w:val="22"/>
                  <w:szCs w:val="22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14:paraId="251E27FE" w14:textId="77777777" w:rsidR="00D93422" w:rsidRPr="008E4BF9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Министерство финансов Республики Карелия</w:t>
            </w:r>
          </w:p>
          <w:p w14:paraId="10F10980" w14:textId="04DAAA52" w:rsidR="00D93422" w:rsidRPr="008E4BF9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(Министерство </w:t>
            </w:r>
            <w:proofErr w:type="gramStart"/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экономического</w:t>
            </w:r>
            <w:proofErr w:type="gramEnd"/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развития Республики Карелия, л/с 03062001600)</w:t>
            </w:r>
          </w:p>
          <w:p w14:paraId="0A063F42" w14:textId="77777777" w:rsidR="00D93422" w:rsidRPr="008E4BF9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Банк получателя: Отделение - НБ Республика Карелия Банка России//УФК по Республике Карелия, г. Петрозаводск </w:t>
            </w:r>
          </w:p>
          <w:p w14:paraId="2CB56C98" w14:textId="77777777" w:rsidR="00D93422" w:rsidRPr="008E4BF9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БИК 018602104</w:t>
            </w:r>
          </w:p>
          <w:p w14:paraId="4713BDBD" w14:textId="77777777" w:rsidR="00D93422" w:rsidRPr="008E4BF9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Единый казначейский счет</w:t>
            </w:r>
          </w:p>
          <w:p w14:paraId="5B62D02E" w14:textId="77777777" w:rsidR="00D93422" w:rsidRPr="008E4BF9" w:rsidRDefault="00D93422" w:rsidP="00D93422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40102810945370000073</w:t>
            </w:r>
          </w:p>
          <w:p w14:paraId="78D94A5A" w14:textId="77777777" w:rsidR="00D93422" w:rsidRDefault="00D93422" w:rsidP="00D93422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E4BF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Казначейский счет 03221643860000000600</w:t>
            </w:r>
          </w:p>
          <w:p w14:paraId="23B706C0" w14:textId="77777777" w:rsidR="00D653DF" w:rsidRDefault="00D653DF" w:rsidP="00D93422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14:paraId="3A551B1B" w14:textId="77777777" w:rsidR="00D653DF" w:rsidRDefault="00D653DF" w:rsidP="00D93422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14:paraId="4618A3EA" w14:textId="53C4CAF4" w:rsidR="00D653DF" w:rsidRPr="00C27AFC" w:rsidRDefault="00D653DF" w:rsidP="00D653DF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27A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Министр </w:t>
            </w:r>
            <w:proofErr w:type="gramStart"/>
            <w:r w:rsidRPr="00C27A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экономического</w:t>
            </w:r>
            <w:proofErr w:type="gramEnd"/>
            <w:r w:rsidRPr="00C27AF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развития Республики Карелия</w:t>
            </w:r>
          </w:p>
          <w:p w14:paraId="63A2EA04" w14:textId="77777777" w:rsidR="00D476C7" w:rsidRPr="009105CE" w:rsidRDefault="00D476C7" w:rsidP="00D8479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7BF89103" w14:textId="77777777" w:rsidR="00D476C7" w:rsidRPr="009105CE" w:rsidRDefault="00D476C7" w:rsidP="00D8479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09E02012" w14:textId="77777777" w:rsidR="00D476C7" w:rsidRPr="009105CE" w:rsidRDefault="00D476C7" w:rsidP="00D84797">
            <w:pPr>
              <w:widowControl/>
              <w:ind w:firstLine="142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9105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О.А. Ермолаев</w:t>
            </w:r>
          </w:p>
          <w:p w14:paraId="763B0F4E" w14:textId="77777777" w:rsidR="00D476C7" w:rsidRPr="009105CE" w:rsidRDefault="00D476C7" w:rsidP="00D84797">
            <w:pPr>
              <w:widowControl/>
              <w:ind w:firstLine="142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105C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М.П.</w:t>
            </w:r>
          </w:p>
          <w:p w14:paraId="5EA82C56" w14:textId="77777777" w:rsidR="00D476C7" w:rsidRDefault="00D476C7" w:rsidP="004B16B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2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      » </w:t>
            </w:r>
            <w:r w:rsidRPr="0001606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</w:t>
            </w:r>
            <w:r w:rsidRPr="00322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4B16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322A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г.</w:t>
            </w:r>
          </w:p>
          <w:p w14:paraId="52C70916" w14:textId="1F9340A0" w:rsidR="0001606F" w:rsidRPr="00322ABC" w:rsidRDefault="0001606F" w:rsidP="004B16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pct"/>
            <w:shd w:val="clear" w:color="auto" w:fill="auto"/>
          </w:tcPr>
          <w:p w14:paraId="38B4849B" w14:textId="77777777" w:rsidR="00D476C7" w:rsidRPr="00322ABC" w:rsidRDefault="00D476C7" w:rsidP="00D8479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D42E635" w14:textId="77777777" w:rsidR="00D476C7" w:rsidRDefault="00D476C7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p w14:paraId="34584BC7" w14:textId="3A5FEF8E" w:rsidR="00F13F0D" w:rsidRDefault="00F13F0D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p w14:paraId="0D75E166" w14:textId="7E54AC1D" w:rsidR="00F13F0D" w:rsidRDefault="00F13F0D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p w14:paraId="115BDF3B" w14:textId="0C8F964E" w:rsidR="00F13F0D" w:rsidRDefault="00F13F0D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p w14:paraId="7B85E6D4" w14:textId="5AF55191" w:rsidR="00F13F0D" w:rsidRDefault="00F13F0D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p w14:paraId="10471FF0" w14:textId="13A1021F" w:rsidR="00F13F0D" w:rsidRDefault="00F13F0D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p w14:paraId="271CA1EA" w14:textId="77777777" w:rsidR="001F71C9" w:rsidRPr="00975533" w:rsidRDefault="001F71C9" w:rsidP="00B21F52">
      <w:pPr>
        <w:spacing w:line="322" w:lineRule="exact"/>
        <w:jc w:val="center"/>
      </w:pPr>
    </w:p>
    <w:sectPr w:rsidR="001F71C9" w:rsidRPr="00975533" w:rsidSect="00B21F52">
      <w:headerReference w:type="first" r:id="rId10"/>
      <w:footnotePr>
        <w:numFmt w:val="upperRoman"/>
        <w:numRestart w:val="eachPage"/>
      </w:footnotePr>
      <w:pgSz w:w="11906" w:h="16838"/>
      <w:pgMar w:top="1418" w:right="567" w:bottom="1418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506B" w14:textId="77777777" w:rsidR="00A2363E" w:rsidRDefault="00A2363E">
      <w:r>
        <w:separator/>
      </w:r>
    </w:p>
  </w:endnote>
  <w:endnote w:type="continuationSeparator" w:id="0">
    <w:p w14:paraId="0330BE51" w14:textId="77777777" w:rsidR="00A2363E" w:rsidRDefault="00A2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3386" w14:textId="77777777" w:rsidR="00A2363E" w:rsidRDefault="00A2363E">
      <w:r>
        <w:separator/>
      </w:r>
    </w:p>
  </w:footnote>
  <w:footnote w:type="continuationSeparator" w:id="0">
    <w:p w14:paraId="1AB38037" w14:textId="77777777" w:rsidR="00A2363E" w:rsidRDefault="00A2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0CDD" w14:textId="32A2E1C8" w:rsidR="00A7089C" w:rsidRPr="00A7089C" w:rsidRDefault="00A7089C" w:rsidP="00A7089C">
    <w:pPr>
      <w:pStyle w:val="af0"/>
      <w:ind w:left="595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AF8"/>
    <w:multiLevelType w:val="hybridMultilevel"/>
    <w:tmpl w:val="BF7C6A54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1107F"/>
    <w:multiLevelType w:val="hybridMultilevel"/>
    <w:tmpl w:val="0EA42B6E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6264"/>
    <w:multiLevelType w:val="hybridMultilevel"/>
    <w:tmpl w:val="D9A8B940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82884"/>
    <w:multiLevelType w:val="multilevel"/>
    <w:tmpl w:val="78CCA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5" w:hanging="2160"/>
      </w:pPr>
      <w:rPr>
        <w:rFonts w:hint="default"/>
      </w:rPr>
    </w:lvl>
  </w:abstractNum>
  <w:abstractNum w:abstractNumId="6">
    <w:nsid w:val="1BBC2D6D"/>
    <w:multiLevelType w:val="hybridMultilevel"/>
    <w:tmpl w:val="E07EC070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A720157"/>
    <w:multiLevelType w:val="hybridMultilevel"/>
    <w:tmpl w:val="4918870C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0316A"/>
    <w:multiLevelType w:val="multilevel"/>
    <w:tmpl w:val="D204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45ADE"/>
    <w:multiLevelType w:val="multilevel"/>
    <w:tmpl w:val="5C06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EBB7D62"/>
    <w:multiLevelType w:val="hybridMultilevel"/>
    <w:tmpl w:val="D28271A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76BFE"/>
    <w:multiLevelType w:val="multilevel"/>
    <w:tmpl w:val="99E0974E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E0950"/>
    <w:multiLevelType w:val="multilevel"/>
    <w:tmpl w:val="9AF888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09837AF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1183C"/>
    <w:multiLevelType w:val="hybridMultilevel"/>
    <w:tmpl w:val="DB2CB82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9E20BE"/>
    <w:multiLevelType w:val="hybridMultilevel"/>
    <w:tmpl w:val="9F18F582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6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EE1DC0"/>
    <w:multiLevelType w:val="hybridMultilevel"/>
    <w:tmpl w:val="264A381E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82A58A8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513F2"/>
    <w:multiLevelType w:val="hybridMultilevel"/>
    <w:tmpl w:val="ADCC0336"/>
    <w:lvl w:ilvl="0" w:tplc="F5E4DF3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493CB0"/>
    <w:multiLevelType w:val="hybridMultilevel"/>
    <w:tmpl w:val="FE1ACA1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D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77131C"/>
    <w:multiLevelType w:val="hybridMultilevel"/>
    <w:tmpl w:val="929E1FC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12174C"/>
    <w:multiLevelType w:val="multilevel"/>
    <w:tmpl w:val="CC706A34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22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C9"/>
    <w:rsid w:val="0001606F"/>
    <w:rsid w:val="000429DC"/>
    <w:rsid w:val="00065D78"/>
    <w:rsid w:val="0008013D"/>
    <w:rsid w:val="000824CC"/>
    <w:rsid w:val="000923CB"/>
    <w:rsid w:val="000C687A"/>
    <w:rsid w:val="000D1B11"/>
    <w:rsid w:val="000D2BF9"/>
    <w:rsid w:val="00121AE1"/>
    <w:rsid w:val="00121F54"/>
    <w:rsid w:val="001804F9"/>
    <w:rsid w:val="001A32AD"/>
    <w:rsid w:val="001B50E5"/>
    <w:rsid w:val="001F71C9"/>
    <w:rsid w:val="00200408"/>
    <w:rsid w:val="002105E5"/>
    <w:rsid w:val="00215068"/>
    <w:rsid w:val="00220C50"/>
    <w:rsid w:val="00274AB0"/>
    <w:rsid w:val="00275A4F"/>
    <w:rsid w:val="0029552D"/>
    <w:rsid w:val="002A0795"/>
    <w:rsid w:val="002A5942"/>
    <w:rsid w:val="002A6A20"/>
    <w:rsid w:val="002C2936"/>
    <w:rsid w:val="002C619F"/>
    <w:rsid w:val="0035158A"/>
    <w:rsid w:val="00360FE2"/>
    <w:rsid w:val="003A360A"/>
    <w:rsid w:val="003C181F"/>
    <w:rsid w:val="00416745"/>
    <w:rsid w:val="0044495B"/>
    <w:rsid w:val="0045299B"/>
    <w:rsid w:val="00461562"/>
    <w:rsid w:val="004864B3"/>
    <w:rsid w:val="004A06C2"/>
    <w:rsid w:val="004B16B5"/>
    <w:rsid w:val="004B1E7F"/>
    <w:rsid w:val="004B7EFD"/>
    <w:rsid w:val="004C0205"/>
    <w:rsid w:val="00500A98"/>
    <w:rsid w:val="00575A64"/>
    <w:rsid w:val="005849BC"/>
    <w:rsid w:val="005B00F1"/>
    <w:rsid w:val="005D127B"/>
    <w:rsid w:val="005D3CC9"/>
    <w:rsid w:val="005D5C08"/>
    <w:rsid w:val="005E34BF"/>
    <w:rsid w:val="005F54CB"/>
    <w:rsid w:val="0063002A"/>
    <w:rsid w:val="0064348D"/>
    <w:rsid w:val="00684805"/>
    <w:rsid w:val="006C345A"/>
    <w:rsid w:val="006C68F1"/>
    <w:rsid w:val="006E2237"/>
    <w:rsid w:val="007414D2"/>
    <w:rsid w:val="00742F74"/>
    <w:rsid w:val="00745713"/>
    <w:rsid w:val="00750DA1"/>
    <w:rsid w:val="00753014"/>
    <w:rsid w:val="007655F7"/>
    <w:rsid w:val="007807AC"/>
    <w:rsid w:val="0079073B"/>
    <w:rsid w:val="007C5C1B"/>
    <w:rsid w:val="007C66BE"/>
    <w:rsid w:val="007C71D9"/>
    <w:rsid w:val="00804C54"/>
    <w:rsid w:val="00814E0B"/>
    <w:rsid w:val="00860FE4"/>
    <w:rsid w:val="00883AF0"/>
    <w:rsid w:val="00887BE6"/>
    <w:rsid w:val="00890AB6"/>
    <w:rsid w:val="0089112B"/>
    <w:rsid w:val="008963BD"/>
    <w:rsid w:val="008B2E01"/>
    <w:rsid w:val="008C138B"/>
    <w:rsid w:val="008C663E"/>
    <w:rsid w:val="008E134F"/>
    <w:rsid w:val="008F5A13"/>
    <w:rsid w:val="00900D66"/>
    <w:rsid w:val="00917672"/>
    <w:rsid w:val="00975533"/>
    <w:rsid w:val="0097556F"/>
    <w:rsid w:val="009833E1"/>
    <w:rsid w:val="0098482A"/>
    <w:rsid w:val="009C542C"/>
    <w:rsid w:val="009E3D1B"/>
    <w:rsid w:val="009F7FBD"/>
    <w:rsid w:val="00A2363E"/>
    <w:rsid w:val="00A24D26"/>
    <w:rsid w:val="00A7089C"/>
    <w:rsid w:val="00A821D1"/>
    <w:rsid w:val="00A95AD9"/>
    <w:rsid w:val="00AD565D"/>
    <w:rsid w:val="00AE7C5A"/>
    <w:rsid w:val="00AF5DE9"/>
    <w:rsid w:val="00B21F52"/>
    <w:rsid w:val="00B62C76"/>
    <w:rsid w:val="00B65C5B"/>
    <w:rsid w:val="00B91CB1"/>
    <w:rsid w:val="00B91DAD"/>
    <w:rsid w:val="00BC0F2D"/>
    <w:rsid w:val="00BC328F"/>
    <w:rsid w:val="00BD63CC"/>
    <w:rsid w:val="00BD79BE"/>
    <w:rsid w:val="00BD7D59"/>
    <w:rsid w:val="00BE0F18"/>
    <w:rsid w:val="00BE74E7"/>
    <w:rsid w:val="00C5680F"/>
    <w:rsid w:val="00C814C2"/>
    <w:rsid w:val="00CC0F5D"/>
    <w:rsid w:val="00CC7F8C"/>
    <w:rsid w:val="00CD1A21"/>
    <w:rsid w:val="00CE1066"/>
    <w:rsid w:val="00CE37DB"/>
    <w:rsid w:val="00D0603C"/>
    <w:rsid w:val="00D210DC"/>
    <w:rsid w:val="00D476C7"/>
    <w:rsid w:val="00D653DF"/>
    <w:rsid w:val="00D70FA2"/>
    <w:rsid w:val="00D764F1"/>
    <w:rsid w:val="00D861E7"/>
    <w:rsid w:val="00D93422"/>
    <w:rsid w:val="00DB1782"/>
    <w:rsid w:val="00DB52EC"/>
    <w:rsid w:val="00DC6E31"/>
    <w:rsid w:val="00E3260C"/>
    <w:rsid w:val="00E4402B"/>
    <w:rsid w:val="00E607E5"/>
    <w:rsid w:val="00EB5461"/>
    <w:rsid w:val="00EB6220"/>
    <w:rsid w:val="00EE609C"/>
    <w:rsid w:val="00EE64D2"/>
    <w:rsid w:val="00F01554"/>
    <w:rsid w:val="00F05FFF"/>
    <w:rsid w:val="00F13F0D"/>
    <w:rsid w:val="00F227C9"/>
    <w:rsid w:val="00F60612"/>
    <w:rsid w:val="00F62F12"/>
    <w:rsid w:val="00F771C7"/>
    <w:rsid w:val="00F77505"/>
    <w:rsid w:val="00FA14E5"/>
    <w:rsid w:val="00FC2396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9F3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nomy@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37FD-25A8-4EBA-B7CC-8A14BBA8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Ostapchuk</dc:creator>
  <cp:lastModifiedBy>Кубинец Василиса Васильевна</cp:lastModifiedBy>
  <cp:revision>17</cp:revision>
  <cp:lastPrinted>2022-02-09T07:23:00Z</cp:lastPrinted>
  <dcterms:created xsi:type="dcterms:W3CDTF">2021-01-18T07:52:00Z</dcterms:created>
  <dcterms:modified xsi:type="dcterms:W3CDTF">2023-11-16T07:54:00Z</dcterms:modified>
</cp:coreProperties>
</file>