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C4" w:rsidRDefault="006041C4"/>
    <w:p w:rsidR="00E2132B" w:rsidRDefault="00E2132B"/>
    <w:p w:rsidR="00E2132B" w:rsidRDefault="00E2132B" w:rsidP="00E2132B">
      <w:pPr>
        <w:jc w:val="center"/>
        <w:rPr>
          <w:b/>
          <w:sz w:val="28"/>
          <w:szCs w:val="28"/>
        </w:rPr>
      </w:pPr>
      <w:bookmarkStart w:id="0" w:name="_GoBack"/>
      <w:r w:rsidRPr="00E2132B">
        <w:rPr>
          <w:b/>
          <w:sz w:val="28"/>
          <w:szCs w:val="28"/>
        </w:rPr>
        <w:t xml:space="preserve">Доклад о результатах </w:t>
      </w:r>
      <w:proofErr w:type="gramStart"/>
      <w:r>
        <w:rPr>
          <w:b/>
          <w:sz w:val="28"/>
          <w:szCs w:val="28"/>
        </w:rPr>
        <w:t xml:space="preserve">проведения </w:t>
      </w:r>
      <w:r w:rsidRPr="00E2132B">
        <w:rPr>
          <w:b/>
          <w:sz w:val="28"/>
          <w:szCs w:val="28"/>
        </w:rPr>
        <w:t>оценки регулирующего воздействия</w:t>
      </w:r>
      <w:r>
        <w:rPr>
          <w:b/>
          <w:sz w:val="28"/>
          <w:szCs w:val="28"/>
        </w:rPr>
        <w:t xml:space="preserve"> проектов нормативных правовых актов</w:t>
      </w:r>
      <w:proofErr w:type="gramEnd"/>
      <w:r>
        <w:rPr>
          <w:b/>
          <w:sz w:val="28"/>
          <w:szCs w:val="28"/>
        </w:rPr>
        <w:t xml:space="preserve"> и экспертизы нормативных правовых актов </w:t>
      </w:r>
      <w:r w:rsidRPr="00E2132B">
        <w:rPr>
          <w:b/>
          <w:sz w:val="28"/>
          <w:szCs w:val="28"/>
        </w:rPr>
        <w:t>Республик</w:t>
      </w:r>
      <w:r>
        <w:rPr>
          <w:b/>
          <w:sz w:val="28"/>
          <w:szCs w:val="28"/>
        </w:rPr>
        <w:t>и</w:t>
      </w:r>
      <w:r w:rsidRPr="00E2132B">
        <w:rPr>
          <w:b/>
          <w:sz w:val="28"/>
          <w:szCs w:val="28"/>
        </w:rPr>
        <w:t xml:space="preserve"> Карелия в 20</w:t>
      </w:r>
      <w:r>
        <w:rPr>
          <w:b/>
          <w:sz w:val="28"/>
          <w:szCs w:val="28"/>
        </w:rPr>
        <w:t>20</w:t>
      </w:r>
      <w:r w:rsidRPr="00E2132B">
        <w:rPr>
          <w:b/>
          <w:sz w:val="28"/>
          <w:szCs w:val="28"/>
        </w:rPr>
        <w:t xml:space="preserve"> году</w:t>
      </w:r>
    </w:p>
    <w:bookmarkEnd w:id="0"/>
    <w:p w:rsidR="00E2132B" w:rsidRPr="00E2132B" w:rsidRDefault="00E2132B" w:rsidP="00E2132B">
      <w:pPr>
        <w:jc w:val="center"/>
        <w:rPr>
          <w:sz w:val="28"/>
          <w:szCs w:val="28"/>
        </w:rPr>
      </w:pPr>
    </w:p>
    <w:p w:rsidR="00E2132B" w:rsidRPr="001C13A4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1C13A4">
        <w:rPr>
          <w:sz w:val="28"/>
          <w:szCs w:val="28"/>
        </w:rPr>
        <w:t xml:space="preserve">В 2020 году продолжена работа по развитию института оценки регулирующего воздействия (далее – ОРВ) в Республике Карелия. </w:t>
      </w:r>
      <w:proofErr w:type="gramStart"/>
      <w:r w:rsidRPr="001C13A4">
        <w:rPr>
          <w:sz w:val="28"/>
          <w:szCs w:val="28"/>
        </w:rPr>
        <w:t>В рамках решения задачи обеспечения доступности и информационного сопровождения процедуры ОРВ в регионе уполномоченным органом – Министерством экономического развития и промышленности Республики Карелия совместно с органами исполнительной власти – разработчиками нормативных правовых актов Республики Карелия, была продолжена деятельность по наполнению раздела «Оценка регулирующего воздействия проектов НПА» на Официальном интернет-портале Республики Карелия, в том числе с помощью информационно-аналитической системы «Оценка регулирующего воздействия проектов</w:t>
      </w:r>
      <w:proofErr w:type="gramEnd"/>
      <w:r w:rsidRPr="001C13A4">
        <w:rPr>
          <w:sz w:val="28"/>
          <w:szCs w:val="28"/>
        </w:rPr>
        <w:t xml:space="preserve"> нормативных правовых актов Республики Карелия» (далее – АИС), внедрение которой было обеспечено в июне 2018 года для автоматизации </w:t>
      </w:r>
      <w:proofErr w:type="gramStart"/>
      <w:r w:rsidRPr="001C13A4">
        <w:rPr>
          <w:sz w:val="28"/>
          <w:szCs w:val="28"/>
        </w:rPr>
        <w:t>процесса оценки регулирующего воздействия проектов нормативных правовых актов Республики</w:t>
      </w:r>
      <w:proofErr w:type="gramEnd"/>
      <w:r w:rsidRPr="001C13A4">
        <w:rPr>
          <w:sz w:val="28"/>
          <w:szCs w:val="28"/>
        </w:rPr>
        <w:t xml:space="preserve"> Карелия.</w:t>
      </w:r>
    </w:p>
    <w:p w:rsidR="00E2132B" w:rsidRPr="001C13A4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C13A4">
        <w:rPr>
          <w:sz w:val="28"/>
          <w:szCs w:val="28"/>
        </w:rPr>
        <w:t>В соответствии с федеральным и региональным законодательством сформирован и размещен на Официальном интернет-портале Республики Карелия План проведения экспертизы нормативных правовых актов Республики Карелия на 2020 год.</w:t>
      </w:r>
      <w:proofErr w:type="gramEnd"/>
      <w:r w:rsidRPr="001C13A4">
        <w:rPr>
          <w:sz w:val="28"/>
          <w:szCs w:val="28"/>
        </w:rPr>
        <w:t xml:space="preserve"> В указанный план по предложениям органов исполнительной власти и заинтересованных лиц включены два нормативных правовых акта Республики Карелия с целью оценки их фактического воздействия на субъекты предпринимательской и инвестиционной деятельности.</w:t>
      </w:r>
    </w:p>
    <w:p w:rsidR="00E2132B" w:rsidRPr="00B74015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B74015">
        <w:rPr>
          <w:sz w:val="28"/>
          <w:szCs w:val="28"/>
        </w:rPr>
        <w:t xml:space="preserve">С целью информирования о процедуре ОРВ на региональном уровне создан соответствующий раздел на официальном сайте Министерства экономического развития и промышленности Республики Карелия; его актуализация и обновление осуществляются в постоянном режиме. Также в течение отчетного периода осуществлялась актуализация региональной страницы на федеральном портале Оценки регулирующего воздействия (orv.gov.ru). </w:t>
      </w:r>
    </w:p>
    <w:p w:rsidR="00E2132B" w:rsidRPr="00B74015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B74015">
        <w:rPr>
          <w:sz w:val="28"/>
          <w:szCs w:val="28"/>
        </w:rPr>
        <w:t xml:space="preserve">Ссылки и баннеры на федеральный и региональный раздел ОРВ размещены на Инвестиционном портале Республики Карелия, портале для малого и среднего предпринимательства. Аналогичные баннеры и ссылки с разъясняющей информацией об ОРВ есть на сайтах Торгово-промышленной </w:t>
      </w:r>
      <w:r w:rsidRPr="00B74015">
        <w:rPr>
          <w:sz w:val="28"/>
          <w:szCs w:val="28"/>
        </w:rPr>
        <w:lastRenderedPageBreak/>
        <w:t xml:space="preserve">палаты Республики Карелия и Союза промышленников и предпринимателей Республики Карелия. </w:t>
      </w:r>
    </w:p>
    <w:p w:rsidR="00E2132B" w:rsidRPr="00B74015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B74015">
        <w:rPr>
          <w:sz w:val="28"/>
          <w:szCs w:val="28"/>
        </w:rPr>
        <w:t xml:space="preserve">За  2020 год в открытом доступе в сети Интернет было размещено для проведения публичных обсуждений 18 проектов НПА Республики Карелия (с момента ввода системы АИС размещено 45 НПА), по </w:t>
      </w:r>
      <w:r>
        <w:rPr>
          <w:sz w:val="28"/>
          <w:szCs w:val="28"/>
        </w:rPr>
        <w:t xml:space="preserve">18 </w:t>
      </w:r>
      <w:r w:rsidRPr="00B74015">
        <w:rPr>
          <w:sz w:val="28"/>
          <w:szCs w:val="28"/>
        </w:rPr>
        <w:t>проектам подготовлены заключения об оценке регулирующего воздействия. Высокая степень регулирующего воздействия определена по 4 проектам НПА.</w:t>
      </w:r>
    </w:p>
    <w:p w:rsidR="00E2132B" w:rsidRPr="00BC1B5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BC1B57">
        <w:rPr>
          <w:sz w:val="28"/>
          <w:szCs w:val="28"/>
        </w:rPr>
        <w:t xml:space="preserve">В Республике Карелия проводится процедура ОРВ на муниципальном уровне: с 2016 года в Петрозаводском городском округе; с 2017 года в муниципальных районах и городских округах. </w:t>
      </w:r>
      <w:proofErr w:type="gramStart"/>
      <w:r w:rsidRPr="00BC1B57">
        <w:rPr>
          <w:sz w:val="28"/>
          <w:szCs w:val="28"/>
        </w:rPr>
        <w:t>В соответствии с Законом Республики Карелия от 24 апреля 2015 года № 1888-ЗРК «О некоторых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Республике Карелия» в перечень муниципальных районов и городских округов в Республике Карелия, в которых проведение оценки регулирующего воздействия проектов муниципальных актов, устанавливающих</w:t>
      </w:r>
      <w:proofErr w:type="gramEnd"/>
      <w:r w:rsidRPr="00BC1B57">
        <w:rPr>
          <w:sz w:val="28"/>
          <w:szCs w:val="28"/>
        </w:rPr>
        <w:t xml:space="preserve"> </w:t>
      </w:r>
      <w:proofErr w:type="gramStart"/>
      <w:r w:rsidRPr="00BC1B57">
        <w:rPr>
          <w:sz w:val="28"/>
          <w:szCs w:val="28"/>
        </w:rPr>
        <w:t>новые или изменяющих ранее предусмотренные муниципальными актами обязанности для субъектов предпринимательской и инвестиционной деятельности, а также проведение экспертизы муниципальных актов, затрагивающих вопросы осуществления предпринимательской и инвестиционной деятельности, является обязательным (далее – Перечень) включены:</w:t>
      </w:r>
      <w:proofErr w:type="gramEnd"/>
    </w:p>
    <w:p w:rsidR="00E2132B" w:rsidRPr="00BC1B5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1B57">
        <w:rPr>
          <w:sz w:val="28"/>
          <w:szCs w:val="28"/>
        </w:rPr>
        <w:t>Костомукшский</w:t>
      </w:r>
      <w:proofErr w:type="spellEnd"/>
      <w:r w:rsidRPr="00BC1B57">
        <w:rPr>
          <w:sz w:val="28"/>
          <w:szCs w:val="28"/>
        </w:rPr>
        <w:t xml:space="preserve"> городской округ;</w:t>
      </w:r>
    </w:p>
    <w:p w:rsidR="00E2132B" w:rsidRPr="00BC1B5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1B57">
        <w:rPr>
          <w:sz w:val="28"/>
          <w:szCs w:val="28"/>
        </w:rPr>
        <w:t>Кондопожский</w:t>
      </w:r>
      <w:proofErr w:type="spellEnd"/>
      <w:r w:rsidRPr="00BC1B57">
        <w:rPr>
          <w:sz w:val="28"/>
          <w:szCs w:val="28"/>
        </w:rPr>
        <w:t xml:space="preserve"> муниципальный район;</w:t>
      </w:r>
    </w:p>
    <w:p w:rsidR="00E2132B" w:rsidRPr="00BC1B5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BC1B57">
        <w:rPr>
          <w:sz w:val="28"/>
          <w:szCs w:val="28"/>
        </w:rPr>
        <w:t>Медвежьегорский муниципальный район;</w:t>
      </w:r>
    </w:p>
    <w:p w:rsidR="00E2132B" w:rsidRPr="00BC1B5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1B57">
        <w:rPr>
          <w:sz w:val="28"/>
          <w:szCs w:val="28"/>
        </w:rPr>
        <w:t>Олонецкий</w:t>
      </w:r>
      <w:proofErr w:type="spellEnd"/>
      <w:r w:rsidRPr="00BC1B57">
        <w:rPr>
          <w:sz w:val="28"/>
          <w:szCs w:val="28"/>
        </w:rPr>
        <w:t xml:space="preserve"> национальный муниципальный район;</w:t>
      </w:r>
    </w:p>
    <w:p w:rsidR="00E2132B" w:rsidRPr="00BC1B5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1B57">
        <w:rPr>
          <w:sz w:val="28"/>
          <w:szCs w:val="28"/>
        </w:rPr>
        <w:t>Прионежский</w:t>
      </w:r>
      <w:proofErr w:type="spellEnd"/>
      <w:r w:rsidRPr="00BC1B57">
        <w:rPr>
          <w:sz w:val="28"/>
          <w:szCs w:val="28"/>
        </w:rPr>
        <w:t xml:space="preserve"> муниципальный район;</w:t>
      </w:r>
    </w:p>
    <w:p w:rsidR="00E2132B" w:rsidRPr="00BC1B5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BC1B57">
        <w:rPr>
          <w:sz w:val="28"/>
          <w:szCs w:val="28"/>
        </w:rPr>
        <w:t>Сегежский муниципальный район;</w:t>
      </w:r>
    </w:p>
    <w:p w:rsidR="00E2132B" w:rsidRPr="00BC1B5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BC1B57">
        <w:rPr>
          <w:sz w:val="28"/>
          <w:szCs w:val="28"/>
        </w:rPr>
        <w:t>Сортавальский муниципальный район.</w:t>
      </w:r>
    </w:p>
    <w:p w:rsidR="00E2132B" w:rsidRPr="00BC1B5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BC1B57">
        <w:rPr>
          <w:sz w:val="28"/>
          <w:szCs w:val="28"/>
        </w:rPr>
        <w:t>Во всех муниципальных районах и городских округах, включенных в Перечень, утверждены порядки проведения оценки регулирующего воздействия проектов муниципальных НПА и экспертизы муниципальных НПА; информация о публичном обсуждении проектов муниципальных НПА размещается на официальных сайтах муниципальных районов и городских округов</w:t>
      </w:r>
      <w:proofErr w:type="gramStart"/>
      <w:r w:rsidRPr="00BC1B57">
        <w:rPr>
          <w:sz w:val="28"/>
          <w:szCs w:val="28"/>
        </w:rPr>
        <w:t>.</w:t>
      </w:r>
      <w:proofErr w:type="gramEnd"/>
      <w:r w:rsidR="00014572">
        <w:rPr>
          <w:sz w:val="28"/>
          <w:szCs w:val="28"/>
        </w:rPr>
        <w:t xml:space="preserve"> В 2020 году органами местного самоуправления по 14</w:t>
      </w:r>
      <w:r w:rsidR="00014572" w:rsidRPr="00014572">
        <w:rPr>
          <w:sz w:val="28"/>
          <w:szCs w:val="28"/>
        </w:rPr>
        <w:t xml:space="preserve"> проектам</w:t>
      </w:r>
      <w:r w:rsidR="00014572">
        <w:rPr>
          <w:sz w:val="28"/>
          <w:szCs w:val="28"/>
        </w:rPr>
        <w:t xml:space="preserve"> нормативных правовых актов муниципального уровня </w:t>
      </w:r>
      <w:r w:rsidR="00014572" w:rsidRPr="00014572">
        <w:rPr>
          <w:sz w:val="28"/>
          <w:szCs w:val="28"/>
        </w:rPr>
        <w:t>подготовлены заключения об оценке регулирующего воздействия</w:t>
      </w:r>
      <w:r w:rsidR="00014572">
        <w:rPr>
          <w:sz w:val="28"/>
          <w:szCs w:val="28"/>
        </w:rPr>
        <w:t>.</w:t>
      </w:r>
    </w:p>
    <w:p w:rsidR="00E2132B" w:rsidRPr="00BC1B5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BC1B57">
        <w:rPr>
          <w:sz w:val="28"/>
          <w:szCs w:val="28"/>
        </w:rPr>
        <w:lastRenderedPageBreak/>
        <w:t>В декабре 2020 года Министерством экономического развития Российской Федерации проведена оценка качества проведения оценки регулирующего воздействия в субъектах Р</w:t>
      </w:r>
      <w:r>
        <w:rPr>
          <w:sz w:val="28"/>
          <w:szCs w:val="28"/>
        </w:rPr>
        <w:t xml:space="preserve">оссийской </w:t>
      </w:r>
      <w:r w:rsidRPr="00BC1B5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C1B57">
        <w:rPr>
          <w:sz w:val="28"/>
          <w:szCs w:val="28"/>
        </w:rPr>
        <w:t>. Регионы были разбиты на пять групп в соответствии с уровнем развития института ОРВ (высший – 8 регионов, хороший – 21 регион, средний - 40, удовлетворительный - 12, ОРВ в субъекте не реализована - 4).</w:t>
      </w:r>
      <w:r w:rsidRPr="00BC1B57">
        <w:t xml:space="preserve"> </w:t>
      </w:r>
      <w:r w:rsidRPr="00BC1B57">
        <w:rPr>
          <w:sz w:val="28"/>
          <w:szCs w:val="28"/>
        </w:rPr>
        <w:t>При подсчете результатов рейтинга учитывались такие показатели, как количество подготовленных заключений об ОРВ, процент проектов нормативных правовых актов, доработанных по итогам ОРВ, прозрачность процессов нормотворчества, проведение ОРВ в муниципальных образованиях, а также оценка экспертным и предпринимательским сообществом уровня развития института в регионах.</w:t>
      </w:r>
    </w:p>
    <w:p w:rsidR="00E2132B" w:rsidRPr="00BC1B57" w:rsidRDefault="00213E6A" w:rsidP="00E213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оценки Республика </w:t>
      </w:r>
      <w:r w:rsidR="00E2132B" w:rsidRPr="00BC1B57">
        <w:rPr>
          <w:sz w:val="28"/>
          <w:szCs w:val="28"/>
        </w:rPr>
        <w:t>Карелия попала в группу с рейтингом «средний».</w:t>
      </w:r>
    </w:p>
    <w:p w:rsidR="00E2132B" w:rsidRDefault="00E2132B"/>
    <w:sectPr w:rsidR="00E2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2B"/>
    <w:rsid w:val="00014572"/>
    <w:rsid w:val="00015FFF"/>
    <w:rsid w:val="00213E6A"/>
    <w:rsid w:val="006041C4"/>
    <w:rsid w:val="00763DBA"/>
    <w:rsid w:val="009575D7"/>
    <w:rsid w:val="009B7D6F"/>
    <w:rsid w:val="00E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2</cp:revision>
  <cp:lastPrinted>2021-03-03T09:20:00Z</cp:lastPrinted>
  <dcterms:created xsi:type="dcterms:W3CDTF">2021-03-03T09:42:00Z</dcterms:created>
  <dcterms:modified xsi:type="dcterms:W3CDTF">2021-03-03T09:42:00Z</dcterms:modified>
</cp:coreProperties>
</file>