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99" w:rsidRDefault="0022089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0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899" w:rsidRDefault="00220899">
            <w:pPr>
              <w:pStyle w:val="ConsPlusNormal"/>
            </w:pPr>
            <w:r>
              <w:t>24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899" w:rsidRDefault="00220899">
            <w:pPr>
              <w:pStyle w:val="ConsPlusNormal"/>
              <w:jc w:val="right"/>
            </w:pPr>
            <w:r>
              <w:t>N 1888-ЗРК</w:t>
            </w:r>
          </w:p>
        </w:tc>
      </w:tr>
    </w:tbl>
    <w:p w:rsidR="00220899" w:rsidRDefault="00220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Title"/>
        <w:jc w:val="center"/>
      </w:pPr>
      <w:r>
        <w:t>РЕСПУБЛИКА КАРЕЛИЯ</w:t>
      </w:r>
    </w:p>
    <w:p w:rsidR="00220899" w:rsidRDefault="00220899">
      <w:pPr>
        <w:pStyle w:val="ConsPlusTitle"/>
        <w:jc w:val="center"/>
      </w:pPr>
    </w:p>
    <w:p w:rsidR="00220899" w:rsidRDefault="00220899">
      <w:pPr>
        <w:pStyle w:val="ConsPlusTitle"/>
        <w:jc w:val="center"/>
      </w:pPr>
      <w:r>
        <w:t>ЗАКОН</w:t>
      </w:r>
    </w:p>
    <w:p w:rsidR="00220899" w:rsidRDefault="00220899">
      <w:pPr>
        <w:pStyle w:val="ConsPlusTitle"/>
        <w:jc w:val="center"/>
      </w:pPr>
    </w:p>
    <w:p w:rsidR="00220899" w:rsidRDefault="00220899">
      <w:pPr>
        <w:pStyle w:val="ConsPlusTitle"/>
        <w:jc w:val="center"/>
      </w:pPr>
      <w:r>
        <w:t>О НЕКОТОРЫХ ВОПРОСАХ</w:t>
      </w:r>
    </w:p>
    <w:p w:rsidR="00220899" w:rsidRDefault="00220899">
      <w:pPr>
        <w:pStyle w:val="ConsPlusTitle"/>
        <w:jc w:val="center"/>
      </w:pPr>
      <w:r>
        <w:t>ПРОВЕДЕНИЯ ОЦЕНКИ РЕГУЛИРУЮЩЕГО ВОЗДЕЙСТВИЯ</w:t>
      </w:r>
    </w:p>
    <w:p w:rsidR="00220899" w:rsidRDefault="00220899">
      <w:pPr>
        <w:pStyle w:val="ConsPlusTitle"/>
        <w:jc w:val="center"/>
      </w:pPr>
      <w:r>
        <w:t>ПРОЕКТОВ МУНИЦИПАЛЬНЫХ НОРМАТИВНЫХ ПРАВОВЫХ АКТОВ</w:t>
      </w:r>
    </w:p>
    <w:p w:rsidR="00220899" w:rsidRDefault="00220899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220899" w:rsidRDefault="00220899">
      <w:pPr>
        <w:pStyle w:val="ConsPlusTitle"/>
        <w:jc w:val="center"/>
      </w:pPr>
      <w:r>
        <w:t>В РЕСПУБЛИКЕ КАРЕЛИЯ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jc w:val="right"/>
      </w:pPr>
      <w:proofErr w:type="gramStart"/>
      <w:r>
        <w:t>Принят</w:t>
      </w:r>
      <w:proofErr w:type="gramEnd"/>
    </w:p>
    <w:p w:rsidR="00220899" w:rsidRDefault="00220899">
      <w:pPr>
        <w:pStyle w:val="ConsPlusNormal"/>
        <w:jc w:val="right"/>
      </w:pPr>
      <w:r>
        <w:t>Законодательным Собранием</w:t>
      </w:r>
    </w:p>
    <w:p w:rsidR="00220899" w:rsidRDefault="00220899">
      <w:pPr>
        <w:pStyle w:val="ConsPlusNormal"/>
        <w:jc w:val="right"/>
      </w:pPr>
      <w:r>
        <w:t>Республики Карелия</w:t>
      </w:r>
    </w:p>
    <w:p w:rsidR="00220899" w:rsidRDefault="00220899">
      <w:pPr>
        <w:pStyle w:val="ConsPlusNormal"/>
        <w:jc w:val="right"/>
      </w:pPr>
      <w:r>
        <w:t>16 апреля 2015 года</w:t>
      </w:r>
    </w:p>
    <w:p w:rsidR="00220899" w:rsidRDefault="002208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08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899" w:rsidRDefault="002208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899" w:rsidRDefault="002208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899" w:rsidRDefault="00220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899" w:rsidRDefault="00220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29.06.2016 </w:t>
            </w:r>
            <w:hyperlink r:id="rId5">
              <w:r>
                <w:rPr>
                  <w:color w:val="0000FF"/>
                </w:rPr>
                <w:t>N 2033-ЗРК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0899" w:rsidRDefault="00220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6">
              <w:r>
                <w:rPr>
                  <w:color w:val="0000FF"/>
                </w:rPr>
                <w:t>N 2555-ЗРК</w:t>
              </w:r>
            </w:hyperlink>
            <w:r>
              <w:rPr>
                <w:color w:val="392C69"/>
              </w:rPr>
              <w:t xml:space="preserve">, от 29.12.2021 </w:t>
            </w:r>
            <w:hyperlink r:id="rId7">
              <w:r>
                <w:rPr>
                  <w:color w:val="0000FF"/>
                </w:rPr>
                <w:t>N 2666-ЗРК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899" w:rsidRDefault="00220899">
            <w:pPr>
              <w:pStyle w:val="ConsPlusNormal"/>
            </w:pPr>
          </w:p>
        </w:tc>
      </w:tr>
    </w:tbl>
    <w:p w:rsidR="00220899" w:rsidRDefault="00220899">
      <w:pPr>
        <w:pStyle w:val="ConsPlusNormal"/>
        <w:jc w:val="both"/>
      </w:pPr>
    </w:p>
    <w:p w:rsidR="00220899" w:rsidRDefault="00220899">
      <w:pPr>
        <w:pStyle w:val="ConsPlusTitle"/>
        <w:ind w:firstLine="540"/>
        <w:jc w:val="both"/>
        <w:outlineLvl w:val="0"/>
      </w:pPr>
      <w:r>
        <w:t>Статья 1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(далее - проект муниципального акта) Петрозаводского городского округа, городских округов и муниципальных районов в Республике Карелия (далее - городские округа и муниципальные районы), включенных в перечень, предусмотренный </w:t>
      </w:r>
      <w:hyperlink w:anchor="P82">
        <w:r>
          <w:rPr>
            <w:color w:val="0000FF"/>
          </w:rPr>
          <w:t>частью 2 статьи 2.1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(далее - муниципальный акт) обязательные требования для субъектов предпринимательской и иной экономической деятельности, обязанности для</w:t>
      </w:r>
      <w:proofErr w:type="gramEnd"/>
      <w:r>
        <w:t xml:space="preserve"> </w:t>
      </w:r>
      <w:proofErr w:type="gramStart"/>
      <w:r>
        <w:t xml:space="preserve">субъектов инвестиционной деятельности, в целях, указанных в </w:t>
      </w:r>
      <w:hyperlink r:id="rId8">
        <w:r>
          <w:rPr>
            <w:color w:val="0000FF"/>
          </w:rPr>
          <w:t>части 5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подлежат оценке регулирующего воздействия, проводимой органами местного самоуправления указанных городских округов и муниципальных районов в порядке, установленном муниципальными актами в соответствии с настоящим Законом, за исключением:</w:t>
      </w:r>
      <w:proofErr w:type="gramEnd"/>
    </w:p>
    <w:p w:rsidR="00220899" w:rsidRDefault="0022089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РК от 29.12.2021 N 2666-ЗРК)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1) проектов муниципальных актов представительных органов городских округов и муниципальных районов, устанавливающих, изменяющих, приостанавливающих, отменяющих местные налоги и сборы;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проектов муниципальных актов представительных органов городских округов и муниципальных районов, регулирующих бюджетные правоотношения;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20899" w:rsidRDefault="0022089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Законом</w:t>
        </w:r>
      </w:hyperlink>
      <w:r>
        <w:t xml:space="preserve"> РК от 24.03.2021 N 2555-ЗРК)</w:t>
      </w:r>
    </w:p>
    <w:p w:rsidR="00220899" w:rsidRDefault="00220899">
      <w:pPr>
        <w:pStyle w:val="ConsPlusNormal"/>
        <w:jc w:val="both"/>
      </w:pPr>
      <w:r>
        <w:t xml:space="preserve">(часть 1 в ред. </w:t>
      </w:r>
      <w:hyperlink r:id="rId11">
        <w:r>
          <w:rPr>
            <w:color w:val="0000FF"/>
          </w:rPr>
          <w:t>Закона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Проекты муниципальных актов иных городских округов и муниципальных районов, устанавливающие новые или изменяющие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целях, указанных в </w:t>
      </w:r>
      <w:hyperlink r:id="rId12">
        <w:r>
          <w:rPr>
            <w:color w:val="0000FF"/>
          </w:rPr>
          <w:t>части 5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могут подлежать оценке</w:t>
      </w:r>
      <w:proofErr w:type="gramEnd"/>
      <w:r>
        <w:t xml:space="preserve"> регулирующего воздействия, проводимой органами местного самоуправления соответствующих городских округов и муниципальных районов в порядке, установленном муниципальными актами в соответствии с настоящим Законом, за исключением:</w:t>
      </w:r>
    </w:p>
    <w:p w:rsidR="00220899" w:rsidRDefault="0022089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РК от 29.12.2021 N 2666-ЗРК)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lastRenderedPageBreak/>
        <w:t>1) проектов муниципальных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проектов муниципальных актов представительных органов муниципальных образований, регулирующих бюджетные правоотношения;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20899" w:rsidRDefault="0022089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РК от 24.03.2021 N 2555-ЗРК)</w:t>
      </w:r>
    </w:p>
    <w:p w:rsidR="00220899" w:rsidRDefault="00220899">
      <w:pPr>
        <w:pStyle w:val="ConsPlusNormal"/>
        <w:jc w:val="both"/>
      </w:pPr>
      <w:r>
        <w:t xml:space="preserve">(часть 1.1 введена </w:t>
      </w:r>
      <w:hyperlink r:id="rId15">
        <w:r>
          <w:rPr>
            <w:color w:val="0000FF"/>
          </w:rPr>
          <w:t>Законом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2. Порядок проведения оценки регулирующего воздействия должен предусматривать: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1) размещение уведомления о проведении публичного обсуждения проекта муниципального акта на официальном сайте муниципального образования в информационно-телекоммуникационной сети "Интернет" (далее - сеть "Интернет") или обнародование указанного уведомления в порядке, установленном уставом муниципального образования для официального опубликования (обнародования) муниципальных актов;</w:t>
      </w:r>
    </w:p>
    <w:p w:rsidR="00220899" w:rsidRDefault="0022089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Закона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подготовку сводного отчета о проведении оценки регулирующего воздействия;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3) процедуру проведения публичного обсуждения проекта муниципального акта и сводного отчета о проведении оценки регулирующего воздействия;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4) правила подготовки заключения об оценке регулирующего воздействия органом местного самоуправления, уполномоченным уставом муниципального образования (далее - уполномоченный орган местного самоуправления);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5) механизм разрешения разногласий, возникающих по результатам проведения оценки регулирующего воздействия.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6) необходимость проведения публичного обсуждения идеи (концепции) предлагаемого проектом муниципального акта правового регулирования.</w:t>
      </w:r>
    </w:p>
    <w:p w:rsidR="00220899" w:rsidRDefault="0022089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Законом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bookmarkStart w:id="1" w:name="P47"/>
      <w:bookmarkEnd w:id="1"/>
      <w:r>
        <w:t xml:space="preserve">3. </w:t>
      </w:r>
      <w:proofErr w:type="gramStart"/>
      <w:r>
        <w:t>В заключении об оценке регулирующего воздействия должны содержаться выводы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образования.</w:t>
      </w:r>
      <w:proofErr w:type="gramEnd"/>
    </w:p>
    <w:p w:rsidR="00220899" w:rsidRDefault="0022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Закона</w:t>
        </w:r>
      </w:hyperlink>
      <w:r>
        <w:t xml:space="preserve"> РК от 29.12.2021 N 2666-ЗРК)</w:t>
      </w:r>
    </w:p>
    <w:p w:rsidR="00220899" w:rsidRDefault="00220899">
      <w:pPr>
        <w:pStyle w:val="ConsPlusNormal"/>
        <w:spacing w:before="200"/>
        <w:ind w:firstLine="540"/>
        <w:jc w:val="both"/>
      </w:pPr>
      <w:bookmarkStart w:id="2" w:name="P49"/>
      <w:bookmarkEnd w:id="2"/>
      <w:r>
        <w:t xml:space="preserve">4. Заключение об оценке регулирующего воздействия, содержащее выводы о наличии в проекте муниципального акта положений, указанных в </w:t>
      </w:r>
      <w:hyperlink w:anchor="P47">
        <w:r>
          <w:rPr>
            <w:color w:val="0000FF"/>
          </w:rPr>
          <w:t>части 3</w:t>
        </w:r>
      </w:hyperlink>
      <w:r>
        <w:t xml:space="preserve"> настоящей статьи, должно содержать предложения о способах их устранения.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5. Заключение об оценке регулирующего воздействия в течение пяти рабочих дней со дня подписания направляется субъекту правотворческой инициативы, подготовившему проект муниципального акта, и размещается на официальном сайте муниципального образования в сети "Интернет" или обнародуется в порядке, установленном уставом муниципального образования для официального опубликования (обнародования) муниципальных правовых актов.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6. Заключение об оценке регулирующего воздействия подлежит обязательному рассмотрению органом местного самоуправления, подготовившим проект муниципального акта.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заключения, указанного в </w:t>
      </w:r>
      <w:hyperlink w:anchor="P49">
        <w:r>
          <w:rPr>
            <w:color w:val="0000FF"/>
          </w:rPr>
          <w:t>части 4</w:t>
        </w:r>
      </w:hyperlink>
      <w:r>
        <w:t xml:space="preserve"> настоящей статьи, орган местного самоуправления, подготовивший проект муниципального акта,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ответ, в котором выражает свое согласие с содержащимися в заключении выводами и сообщает о планируемых действиях по устранению положений, указанных в </w:t>
      </w:r>
      <w:hyperlink w:anchor="P47">
        <w:r>
          <w:rPr>
            <w:color w:val="0000FF"/>
          </w:rPr>
          <w:t>части 3</w:t>
        </w:r>
        <w:proofErr w:type="gramEnd"/>
      </w:hyperlink>
      <w:r>
        <w:t xml:space="preserve"> настоящей статьи, либо мотивированный ответ, в котором выражает свое несогласие с содержащимися в заключении выводами.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lastRenderedPageBreak/>
        <w:t xml:space="preserve">8. Иной субъект правотворческой инициативы, подготовивший проект муниципального акта, вправе представить уполномоченному органу местного самоуправления мотивированные пояснения в письменной форме в случае несогласия с заключением, указанным в </w:t>
      </w:r>
      <w:hyperlink w:anchor="P49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Title"/>
        <w:ind w:firstLine="540"/>
        <w:jc w:val="both"/>
        <w:outlineLvl w:val="0"/>
      </w:pPr>
      <w:r>
        <w:t>Статья 2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акты Петрозаводского городского округа, городских округов и муниципальных районов, включенных в перечень, предусмотренный </w:t>
      </w:r>
      <w:hyperlink w:anchor="P82">
        <w:r>
          <w:rPr>
            <w:color w:val="0000FF"/>
          </w:rPr>
          <w:t>частью 2 статьи 2.1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указанных городских округов и муниципальных районов в порядке, установленном муниципальными актами в соответствии с настоящим Законом</w:t>
      </w:r>
      <w:proofErr w:type="gramEnd"/>
      <w:r>
        <w:t>.</w:t>
      </w:r>
    </w:p>
    <w:p w:rsidR="00220899" w:rsidRDefault="0022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9">
        <w:r>
          <w:rPr>
            <w:color w:val="0000FF"/>
          </w:rPr>
          <w:t>Закона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1.1. Муниципальные акты иных городских округов и муниципальных районов,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городских округов и муниципальных районов в порядке, установленном муниципальными актами в соответствии с настоящим Законом.</w:t>
      </w:r>
    </w:p>
    <w:p w:rsidR="00220899" w:rsidRDefault="0022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0">
        <w:r>
          <w:rPr>
            <w:color w:val="0000FF"/>
          </w:rPr>
          <w:t>Законом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1.2. Экспертиза муниципальных актов проводится уполномоченными органами местного самоуправления в соответствии с утверждаемыми ими планами проведения экспертизы муниципальных актов в порядке, установленном муниципальными актами в соответствии с настоящим Законом.</w:t>
      </w:r>
    </w:p>
    <w:p w:rsidR="00220899" w:rsidRDefault="0022089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21">
        <w:r>
          <w:rPr>
            <w:color w:val="0000FF"/>
          </w:rPr>
          <w:t>Законом</w:t>
        </w:r>
      </w:hyperlink>
      <w:r>
        <w:t xml:space="preserve"> РК от 29.06.2016 N 2033-ЗРК)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2. Порядок проведения экспертизы муниципальных актов должен предусматривать: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1) порядок подготовки плана проведения экспертизы муниципальных актов, предусматривающий размещение указанного плана на официальном сайте муниципального образования в сети "Интернет" или его обнародование в порядке, установленном уставом муниципального образования для официального опубликования (обнародования) муниципальных правовых актов;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правила подготовки заключения по результатам проведения экспертизы муниципального акта уполномоченным органом местного самоуправления;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3) механизм разрешения разногласий, возникающих по результатам проведения экспертизы муниципального акта.</w:t>
      </w:r>
    </w:p>
    <w:p w:rsidR="00220899" w:rsidRDefault="00220899">
      <w:pPr>
        <w:pStyle w:val="ConsPlusNormal"/>
        <w:spacing w:before="200"/>
        <w:ind w:firstLine="540"/>
        <w:jc w:val="both"/>
      </w:pPr>
      <w:bookmarkStart w:id="3" w:name="P67"/>
      <w:bookmarkEnd w:id="3"/>
      <w:r>
        <w:t>3. В заключении по результатам проведения экспертизы муниципального акта должны содержаться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220899" w:rsidRDefault="00220899">
      <w:pPr>
        <w:pStyle w:val="ConsPlusNormal"/>
        <w:spacing w:before="200"/>
        <w:ind w:firstLine="540"/>
        <w:jc w:val="both"/>
      </w:pPr>
      <w:bookmarkStart w:id="4" w:name="P68"/>
      <w:bookmarkEnd w:id="4"/>
      <w:r>
        <w:t xml:space="preserve">4. Заключение по результатам проведения экспертизы муниципального акта, содержащее выводы о наличии в муниципальном акте положений, указанных в </w:t>
      </w:r>
      <w:hyperlink w:anchor="P67">
        <w:r>
          <w:rPr>
            <w:color w:val="0000FF"/>
          </w:rPr>
          <w:t>части 3</w:t>
        </w:r>
      </w:hyperlink>
      <w:r>
        <w:t xml:space="preserve"> настоящей статьи, должно содержать предложения о способах их устранения.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5. Заключение по результатам проведения экспертизы муниципального акта в течение пяти рабочих дней со дня подписания направляется в орган местного самоуправления, принявший муниципальный акт, и размещается на официальном сайте муниципального образования в сети "Интернет" или обнародуется в порядке, установленном уставом муниципального образования для официального опубликования (обнародования) муниципальных правовых актов.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6. Заключение по результатам проведения экспертизы муниципального акта подлежит обязательному рассмотрению органом местного самоуправления, принявшим муниципальный акт.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заключения, указанного в </w:t>
      </w:r>
      <w:hyperlink w:anchor="P68">
        <w:r>
          <w:rPr>
            <w:color w:val="0000FF"/>
          </w:rPr>
          <w:t>части 4</w:t>
        </w:r>
      </w:hyperlink>
      <w:r>
        <w:t xml:space="preserve"> настоящей статьи, орган местного самоуправления, принявший муниципальный акт, или уполномоченное им должностное лицо не позднее десяти рабочих дней со дня получения указанного заключения направляет </w:t>
      </w:r>
      <w:r>
        <w:lastRenderedPageBreak/>
        <w:t xml:space="preserve">уполномоченному органу местного самоуправления ответ, в котором выражает свое согласие с содержащимися в заключении выводами и сообщает о планируемых действиях по устранению положений, указанных в </w:t>
      </w:r>
      <w:hyperlink w:anchor="P67">
        <w:r>
          <w:rPr>
            <w:color w:val="0000FF"/>
          </w:rPr>
          <w:t>части 3</w:t>
        </w:r>
      </w:hyperlink>
      <w:r>
        <w:t xml:space="preserve"> настоящей</w:t>
      </w:r>
      <w:proofErr w:type="gramEnd"/>
      <w:r>
        <w:t xml:space="preserve"> статьи, либо мотивированный ответ, в котором выражает свое несогласие с содержащимися в заключении выводами.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Title"/>
        <w:ind w:firstLine="540"/>
        <w:jc w:val="both"/>
        <w:outlineLvl w:val="0"/>
      </w:pPr>
      <w:r>
        <w:t>Статья 2.1</w:t>
      </w:r>
    </w:p>
    <w:p w:rsidR="00220899" w:rsidRDefault="0022089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РК от 29.06.2016 N 2033-ЗРК)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ind w:firstLine="540"/>
        <w:jc w:val="both"/>
      </w:pPr>
      <w:r>
        <w:t xml:space="preserve">1. </w:t>
      </w:r>
      <w:proofErr w:type="gramStart"/>
      <w:r>
        <w:t>Критериями включения городских округов и муниципальных районов в перечень муниципальных районов и городских округов в Республике Карелия, в которых проведение оценки регулирующего воздействия проектов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проведение экспертизы муниципальных актов, затрагивающих вопросы осуществления предпринимательской и инвестиционной</w:t>
      </w:r>
      <w:proofErr w:type="gramEnd"/>
      <w:r>
        <w:t xml:space="preserve"> деятельности, является обязательным (далее - перечень), являются:</w:t>
      </w:r>
    </w:p>
    <w:p w:rsidR="00220899" w:rsidRDefault="0022089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РК от 29.12.2021 N 2666-ЗРК)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1) наделение городского округа или муниципального района одним или более отдельным государственным полномочием Республики Карелия;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соответствие городского округа или муниципального района одному из следующих условий: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а) численность населения - более 20 000 человек;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б) количество субъектов малого и среднего предпринимательства - более 1000 единиц.</w:t>
      </w:r>
    </w:p>
    <w:p w:rsidR="00220899" w:rsidRDefault="00220899">
      <w:pPr>
        <w:pStyle w:val="ConsPlusNormal"/>
        <w:spacing w:before="200"/>
        <w:ind w:firstLine="540"/>
        <w:jc w:val="both"/>
      </w:pPr>
      <w:bookmarkStart w:id="5" w:name="P82"/>
      <w:bookmarkEnd w:id="5"/>
      <w:r>
        <w:t xml:space="preserve">2. В перечень входят </w:t>
      </w:r>
      <w:proofErr w:type="spellStart"/>
      <w:r>
        <w:t>Костомукшский</w:t>
      </w:r>
      <w:proofErr w:type="spellEnd"/>
      <w:r>
        <w:t xml:space="preserve"> городской округ, </w:t>
      </w:r>
      <w:proofErr w:type="spellStart"/>
      <w:r>
        <w:t>Кондопожский</w:t>
      </w:r>
      <w:proofErr w:type="spellEnd"/>
      <w:r>
        <w:t xml:space="preserve"> муниципальный район, Медвежьегорский муниципальный район, </w:t>
      </w:r>
      <w:proofErr w:type="spellStart"/>
      <w:r>
        <w:t>Олонецкий</w:t>
      </w:r>
      <w:proofErr w:type="spellEnd"/>
      <w:r>
        <w:t xml:space="preserve"> национальный муниципальный район, </w:t>
      </w:r>
      <w:proofErr w:type="spellStart"/>
      <w:r>
        <w:t>Прионежский</w:t>
      </w:r>
      <w:proofErr w:type="spellEnd"/>
      <w:r>
        <w:t xml:space="preserve"> муниципальный район, Сегежский муниципальный район, Сортавальский муниципальный район.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 xml:space="preserve">3. Порядок установления и оценки </w:t>
      </w:r>
      <w:proofErr w:type="gramStart"/>
      <w:r>
        <w:t>применения</w:t>
      </w:r>
      <w:proofErr w:type="gramEnd"/>
      <w:r>
        <w:t xml:space="preserve"> содержащихся в муниципальных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актами с учетом принципов установления и оценки применения обязательных требований,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220899" w:rsidRDefault="00220899">
      <w:pPr>
        <w:pStyle w:val="ConsPlusNormal"/>
        <w:jc w:val="both"/>
      </w:pPr>
      <w:r>
        <w:t xml:space="preserve">(часть 3 введена </w:t>
      </w:r>
      <w:hyperlink r:id="rId25">
        <w:r>
          <w:rPr>
            <w:color w:val="0000FF"/>
          </w:rPr>
          <w:t>Законом</w:t>
        </w:r>
      </w:hyperlink>
      <w:r>
        <w:t xml:space="preserve"> РК от 29.12.2021 N 2666-ЗРК)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Title"/>
        <w:ind w:firstLine="540"/>
        <w:jc w:val="both"/>
        <w:outlineLvl w:val="0"/>
      </w:pPr>
      <w:r>
        <w:t>Статья 3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2. Положения настоящего Закона применяются в отношении: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1) Петрозаводского городского округа - со дня вступления в силу настоящего Закона;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2) муниципальных районов и городских округов в Республике Карелия (за исключением Петрозаводского городского округа) - с 1 января 2016 года;</w:t>
      </w:r>
    </w:p>
    <w:p w:rsidR="00220899" w:rsidRDefault="00220899">
      <w:pPr>
        <w:pStyle w:val="ConsPlusNormal"/>
        <w:spacing w:before="200"/>
        <w:ind w:firstLine="540"/>
        <w:jc w:val="both"/>
      </w:pPr>
      <w:r>
        <w:t>3) иных муниципальных образований в Республике Карелия - с 1 января 2017 года.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jc w:val="right"/>
      </w:pPr>
      <w:r>
        <w:t>Глава Республики Карелия</w:t>
      </w:r>
    </w:p>
    <w:p w:rsidR="00220899" w:rsidRDefault="00220899">
      <w:pPr>
        <w:pStyle w:val="ConsPlusNormal"/>
        <w:jc w:val="right"/>
      </w:pPr>
      <w:r>
        <w:t>А.П.ХУДИЛАЙНЕН</w:t>
      </w:r>
    </w:p>
    <w:p w:rsidR="00220899" w:rsidRDefault="00220899">
      <w:pPr>
        <w:pStyle w:val="ConsPlusNormal"/>
      </w:pPr>
      <w:r>
        <w:t>г. Петрозаводск</w:t>
      </w:r>
    </w:p>
    <w:p w:rsidR="00220899" w:rsidRDefault="00220899">
      <w:pPr>
        <w:pStyle w:val="ConsPlusNormal"/>
        <w:spacing w:before="200"/>
      </w:pPr>
      <w:r>
        <w:t>24 апреля 2015 года</w:t>
      </w:r>
    </w:p>
    <w:p w:rsidR="00220899" w:rsidRDefault="00220899">
      <w:pPr>
        <w:pStyle w:val="ConsPlusNormal"/>
        <w:spacing w:before="200"/>
      </w:pPr>
      <w:r>
        <w:t>N 1888-ЗРК</w:t>
      </w: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jc w:val="both"/>
      </w:pPr>
    </w:p>
    <w:p w:rsidR="00220899" w:rsidRDefault="00220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548" w:rsidRDefault="00220899"/>
    <w:sectPr w:rsidR="00913548" w:rsidSect="00F4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9"/>
    <w:rsid w:val="00220899"/>
    <w:rsid w:val="00273884"/>
    <w:rsid w:val="005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0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0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0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0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12C67EA3EB99324860E6D079D49911D48D623CAFACBFFC084EF8A03B946B5D435B9C621A03E5DA7BF90B6F3C09B5E87C3359ADDFABEAACu8N" TargetMode="External"/><Relationship Id="rId13" Type="http://schemas.openxmlformats.org/officeDocument/2006/relationships/hyperlink" Target="consultantplus://offline/ref=CBCE12C67EA3EB9932487EEBC615839411DFD66739ADA5EFA55548AFFF6B923E1D035DC9215F0DE4DD70AD5B286250E6AD373E52B2C3ABE1D454AEC0ACu1N" TargetMode="External"/><Relationship Id="rId18" Type="http://schemas.openxmlformats.org/officeDocument/2006/relationships/hyperlink" Target="consultantplus://offline/ref=CBCE12C67EA3EB9932487EEBC615839411DFD66739ADA5EFA55548AFFF6B923E1D035DC9215F0DE4DD70AD5B2F6250E6AD373E52B2C3ABE1D454AEC0ACu1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CE12C67EA3EB9932487EEBC615839411DFD6673BAAA4E1A65715A5F7329E3C1A0C02DE261601E5DD70AF52203D55F3BC6F3151ADDDA2F6C856ACACu0N" TargetMode="External"/><Relationship Id="rId7" Type="http://schemas.openxmlformats.org/officeDocument/2006/relationships/hyperlink" Target="consultantplus://offline/ref=CBCE12C67EA3EB9932487EEBC615839411DFD66739ADA5EFA55548AFFF6B923E1D035DC9215F0DE4DD70AD5A236250E6AD373E52B2C3ABE1D454AEC0ACu1N" TargetMode="External"/><Relationship Id="rId12" Type="http://schemas.openxmlformats.org/officeDocument/2006/relationships/hyperlink" Target="consultantplus://offline/ref=CBCE12C67EA3EB99324860E6D079D49911D48D623CAFACBFFC084EF8A03B946B5D435B9C621A03E5DA7BF90B6F3C09B5E87C3359ADDFABEAACu8N" TargetMode="External"/><Relationship Id="rId17" Type="http://schemas.openxmlformats.org/officeDocument/2006/relationships/hyperlink" Target="consultantplus://offline/ref=CBCE12C67EA3EB9932487EEBC615839411DFD6673BAAA4E1A65715A5F7329E3C1A0C02DE261601E5DD70AF5B203D55F3BC6F3151ADDDA2F6C856ACACu0N" TargetMode="External"/><Relationship Id="rId25" Type="http://schemas.openxmlformats.org/officeDocument/2006/relationships/hyperlink" Target="consultantplus://offline/ref=CBCE12C67EA3EB9932487EEBC615839411DFD66739ADA5EFA55548AFFF6B923E1D035DC9215F0DE4DD70AD5B2C6250E6AD373E52B2C3ABE1D454AEC0ACu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E12C67EA3EB9932487EEBC615839411DFD6673BAAA4E1A65715A5F7329E3C1A0C02DE261601E5DD70AC53203D55F3BC6F3151ADDDA2F6C856ACACu0N" TargetMode="External"/><Relationship Id="rId20" Type="http://schemas.openxmlformats.org/officeDocument/2006/relationships/hyperlink" Target="consultantplus://offline/ref=CBCE12C67EA3EB9932487EEBC615839411DFD6673BAAA4E1A65715A5F7329E3C1A0C02DE261601E5DD70AF5C203D55F3BC6F3151ADDDA2F6C856ACACu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12C67EA3EB9932487EEBC615839411DFD6673AA4AFEDA65548AFFF6B923E1D035DC9215F0DE4DD70AD5A236250E6AD373E52B2C3ABE1D454AEC0ACu1N" TargetMode="External"/><Relationship Id="rId11" Type="http://schemas.openxmlformats.org/officeDocument/2006/relationships/hyperlink" Target="consultantplus://offline/ref=CBCE12C67EA3EB9932487EEBC615839411DFD6673BAAA4E1A65715A5F7329E3C1A0C02DE261601E5DD70AC5A203D55F3BC6F3151ADDDA2F6C856ACACu0N" TargetMode="External"/><Relationship Id="rId24" Type="http://schemas.openxmlformats.org/officeDocument/2006/relationships/hyperlink" Target="consultantplus://offline/ref=CBCE12C67EA3EB99324860E6D079D49911D58C6237A4ACBFFC084EF8A03B946B4F430390601A1EE5D46EAF5A29A6uBN" TargetMode="External"/><Relationship Id="rId5" Type="http://schemas.openxmlformats.org/officeDocument/2006/relationships/hyperlink" Target="consultantplus://offline/ref=CBCE12C67EA3EB9932487EEBC615839411DFD6673BAAA4E1A65715A5F7329E3C1A0C02DE261601E5DD70AD52203D55F3BC6F3151ADDDA2F6C856ACACu0N" TargetMode="External"/><Relationship Id="rId15" Type="http://schemas.openxmlformats.org/officeDocument/2006/relationships/hyperlink" Target="consultantplus://offline/ref=CBCE12C67EA3EB9932487EEBC615839411DFD6673BAAA4E1A65715A5F7329E3C1A0C02DE261601E5DD70AC5E203D55F3BC6F3151ADDDA2F6C856ACACu0N" TargetMode="External"/><Relationship Id="rId23" Type="http://schemas.openxmlformats.org/officeDocument/2006/relationships/hyperlink" Target="consultantplus://offline/ref=CBCE12C67EA3EB9932487EEBC615839411DFD66739ADA5EFA55548AFFF6B923E1D035DC9215F0DE4DD70AD5B2D6250E6AD373E52B2C3ABE1D454AEC0ACu1N" TargetMode="External"/><Relationship Id="rId10" Type="http://schemas.openxmlformats.org/officeDocument/2006/relationships/hyperlink" Target="consultantplus://offline/ref=CBCE12C67EA3EB9932487EEBC615839411DFD6673AA4AFEDA65548AFFF6B923E1D035DC9215F0DE4DD70AD5A226250E6AD373E52B2C3ABE1D454AEC0ACu1N" TargetMode="External"/><Relationship Id="rId19" Type="http://schemas.openxmlformats.org/officeDocument/2006/relationships/hyperlink" Target="consultantplus://offline/ref=CBCE12C67EA3EB9932487EEBC615839411DFD6673BAAA4E1A65715A5F7329E3C1A0C02DE261601E5DD70AF5E203D55F3BC6F3151ADDDA2F6C856ACACu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E12C67EA3EB9932487EEBC615839411DFD66739ADA5EFA55548AFFF6B923E1D035DC9215F0DE4DD70AD5B296250E6AD373E52B2C3ABE1D454AEC0ACu1N" TargetMode="External"/><Relationship Id="rId14" Type="http://schemas.openxmlformats.org/officeDocument/2006/relationships/hyperlink" Target="consultantplus://offline/ref=CBCE12C67EA3EB9932487EEBC615839411DFD6673AA4AFEDA65548AFFF6B923E1D035DC9215F0DE4DD70AD5B2A6250E6AD373E52B2C3ABE1D454AEC0ACu1N" TargetMode="External"/><Relationship Id="rId22" Type="http://schemas.openxmlformats.org/officeDocument/2006/relationships/hyperlink" Target="consultantplus://offline/ref=CBCE12C67EA3EB9932487EEBC615839411DFD6673BAAA4E1A65715A5F7329E3C1A0C02DE261601E5DD70AF53203D55F3BC6F3151ADDDA2F6C856ACACu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Юлия Владимировна</dc:creator>
  <cp:lastModifiedBy>Зарипова Юлия Владимировна</cp:lastModifiedBy>
  <cp:revision>1</cp:revision>
  <dcterms:created xsi:type="dcterms:W3CDTF">2022-09-21T13:45:00Z</dcterms:created>
  <dcterms:modified xsi:type="dcterms:W3CDTF">2022-09-21T13:47:00Z</dcterms:modified>
</cp:coreProperties>
</file>